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4A2D2" w14:textId="77777777" w:rsidR="00154AAA" w:rsidRPr="00154AAA" w:rsidRDefault="00D22821" w:rsidP="00154AAA">
      <w:pPr>
        <w:pStyle w:val="FLSHeading1Bold"/>
      </w:pPr>
      <w:r>
        <w:t>Gender Pay Gap Report 2021</w:t>
      </w:r>
    </w:p>
    <w:p w14:paraId="46A4F4B9" w14:textId="77777777" w:rsidR="003077D2" w:rsidRDefault="003077D2" w:rsidP="00154AAA">
      <w:pPr>
        <w:pStyle w:val="FLSHeading3"/>
      </w:pPr>
    </w:p>
    <w:p w14:paraId="2B23B65A" w14:textId="4CB13E04" w:rsidR="00154AAA" w:rsidRPr="00154AAA" w:rsidRDefault="007D1C37" w:rsidP="00154AAA">
      <w:pPr>
        <w:pStyle w:val="FLSHeading3"/>
      </w:pPr>
      <w:r>
        <w:t xml:space="preserve">What is </w:t>
      </w:r>
      <w:r w:rsidR="000961B9">
        <w:t xml:space="preserve">the </w:t>
      </w:r>
      <w:r>
        <w:t>Gender Pay Gap</w:t>
      </w:r>
      <w:r w:rsidR="003077D2">
        <w:t>?</w:t>
      </w:r>
      <w:r>
        <w:t xml:space="preserve"> </w:t>
      </w:r>
    </w:p>
    <w:p w14:paraId="141757EA" w14:textId="77777777" w:rsidR="00FF6DC8" w:rsidRDefault="00FF6DC8" w:rsidP="007D1C37">
      <w:pPr>
        <w:pStyle w:val="FLSBody"/>
        <w:rPr>
          <w:shd w:val="clear" w:color="auto" w:fill="FFFFFF"/>
        </w:rPr>
      </w:pPr>
      <w:r>
        <w:rPr>
          <w:shd w:val="clear" w:color="auto" w:fill="FFFFFF"/>
        </w:rPr>
        <w:t xml:space="preserve">The gender pay gap </w:t>
      </w:r>
      <w:r>
        <w:t>shows the difference in the average pay between all men and women in a workforce. If a workforce has a particularly high gender pay gap, this can indicate there may be a number of issues to deal with, and the individual calculations may help to identify what those issues are.</w:t>
      </w:r>
    </w:p>
    <w:p w14:paraId="5E946ED8" w14:textId="77777777" w:rsidR="00FF6DC8" w:rsidRDefault="00FF6DC8" w:rsidP="00FF6DC8">
      <w:pPr>
        <w:pStyle w:val="FLSBody"/>
      </w:pPr>
    </w:p>
    <w:p w14:paraId="7F6D2F34" w14:textId="77777777" w:rsidR="00FF6DC8" w:rsidRPr="00FF6DC8" w:rsidRDefault="00FF6DC8" w:rsidP="007D1C37">
      <w:pPr>
        <w:pStyle w:val="FLSBody"/>
      </w:pPr>
      <w:r>
        <w:t xml:space="preserve">The gender pay gap is different to equal pay. Equal pay deals with the pay differences between men and women who carry out the same jobs, similar jobs or work of equal value. It is unlawful to pay people unequally because they are a man or a woman. </w:t>
      </w:r>
    </w:p>
    <w:p w14:paraId="1AB8DCD2" w14:textId="77777777" w:rsidR="00FF6DC8" w:rsidRDefault="00FF6DC8" w:rsidP="007D1C37">
      <w:pPr>
        <w:pStyle w:val="FLSBody"/>
        <w:rPr>
          <w:shd w:val="clear" w:color="auto" w:fill="FFFFFF"/>
        </w:rPr>
      </w:pPr>
    </w:p>
    <w:p w14:paraId="26335D52" w14:textId="68CCCA10" w:rsidR="000961B9" w:rsidRDefault="00FF6DC8" w:rsidP="007D1C37">
      <w:pPr>
        <w:pStyle w:val="FLSBody"/>
        <w:rPr>
          <w:shd w:val="clear" w:color="auto" w:fill="FFFFFF"/>
        </w:rPr>
      </w:pPr>
      <w:r>
        <w:rPr>
          <w:shd w:val="clear" w:color="auto" w:fill="FFFFFF"/>
        </w:rPr>
        <w:t>This report is a snapshot of our pay and gender as of 31 March 2021, and fulfills Forestry and Land Scotland’s reporting requirements under the Public Sector Equality Duty.</w:t>
      </w:r>
    </w:p>
    <w:p w14:paraId="1B8FD268" w14:textId="1370AF11" w:rsidR="007D1C37" w:rsidRDefault="007D1C37" w:rsidP="000961B9">
      <w:pPr>
        <w:pStyle w:val="FLSHeading3"/>
      </w:pPr>
      <w:r>
        <w:t>Results &amp; Interpretation</w:t>
      </w:r>
    </w:p>
    <w:p w14:paraId="64F8DE30" w14:textId="77777777" w:rsidR="003077D2" w:rsidRDefault="003077D2" w:rsidP="000961B9">
      <w:pPr>
        <w:pStyle w:val="FLSHeading3"/>
      </w:pPr>
    </w:p>
    <w:tbl>
      <w:tblPr>
        <w:tblStyle w:val="TableGrid"/>
        <w:tblW w:w="0" w:type="auto"/>
        <w:jc w:val="center"/>
        <w:tblLook w:val="04A0" w:firstRow="1" w:lastRow="0" w:firstColumn="1" w:lastColumn="0" w:noHBand="0" w:noVBand="1"/>
        <w:tblCaption w:val="Mean and Median Hourly Wage, by gender"/>
        <w:tblDescription w:val="This table shows the gender pay gap, which stands at -1.1% when calculated by the mean hourly wage, and -9.4% when calculcated by the median hourly wage."/>
      </w:tblPr>
      <w:tblGrid>
        <w:gridCol w:w="1980"/>
        <w:gridCol w:w="1984"/>
        <w:gridCol w:w="2127"/>
      </w:tblGrid>
      <w:tr w:rsidR="007D1C37" w14:paraId="3C4532B1" w14:textId="77777777" w:rsidTr="000961B9">
        <w:trPr>
          <w:tblHeader/>
          <w:jc w:val="center"/>
        </w:trPr>
        <w:tc>
          <w:tcPr>
            <w:tcW w:w="1980" w:type="dxa"/>
            <w:tcBorders>
              <w:top w:val="nil"/>
              <w:left w:val="nil"/>
              <w:bottom w:val="single" w:sz="4" w:space="0" w:color="auto"/>
              <w:right w:val="nil"/>
            </w:tcBorders>
            <w:shd w:val="clear" w:color="auto" w:fill="auto"/>
          </w:tcPr>
          <w:p w14:paraId="28626E8E" w14:textId="77777777" w:rsidR="007D1C37" w:rsidRDefault="007D1C37" w:rsidP="007D1C37">
            <w:pPr>
              <w:pStyle w:val="FLSHeading3"/>
            </w:pPr>
          </w:p>
        </w:tc>
        <w:tc>
          <w:tcPr>
            <w:tcW w:w="1984" w:type="dxa"/>
            <w:tcBorders>
              <w:left w:val="nil"/>
            </w:tcBorders>
            <w:shd w:val="clear" w:color="auto" w:fill="035F1D"/>
          </w:tcPr>
          <w:p w14:paraId="6337FBD9" w14:textId="77777777" w:rsidR="007D1C37" w:rsidRPr="000961B9" w:rsidRDefault="007D1C37" w:rsidP="00F30D39">
            <w:pPr>
              <w:pStyle w:val="FLSHeading4"/>
            </w:pPr>
            <w:r w:rsidRPr="000961B9">
              <w:t>Mean Hourly Wage</w:t>
            </w:r>
          </w:p>
        </w:tc>
        <w:tc>
          <w:tcPr>
            <w:tcW w:w="2127" w:type="dxa"/>
            <w:shd w:val="clear" w:color="auto" w:fill="035F1D"/>
          </w:tcPr>
          <w:p w14:paraId="75C5B1DC" w14:textId="77777777" w:rsidR="007D1C37" w:rsidRPr="000961B9" w:rsidRDefault="007D1C37" w:rsidP="00F30D39">
            <w:pPr>
              <w:pStyle w:val="FLSHeading4"/>
            </w:pPr>
            <w:r w:rsidRPr="000961B9">
              <w:t>Median Hourly Wage</w:t>
            </w:r>
          </w:p>
        </w:tc>
      </w:tr>
      <w:tr w:rsidR="007D1C37" w14:paraId="0C6EF942" w14:textId="77777777" w:rsidTr="000961B9">
        <w:trPr>
          <w:jc w:val="center"/>
        </w:trPr>
        <w:tc>
          <w:tcPr>
            <w:tcW w:w="1980" w:type="dxa"/>
            <w:tcBorders>
              <w:top w:val="single" w:sz="4" w:space="0" w:color="auto"/>
            </w:tcBorders>
          </w:tcPr>
          <w:p w14:paraId="45B68E30" w14:textId="77777777" w:rsidR="007D1C37" w:rsidRPr="007D1C37" w:rsidRDefault="007D1C37" w:rsidP="007D1C37">
            <w:pPr>
              <w:rPr>
                <w:b/>
              </w:rPr>
            </w:pPr>
            <w:r w:rsidRPr="007D1C37">
              <w:rPr>
                <w:b/>
              </w:rPr>
              <w:t>Female</w:t>
            </w:r>
          </w:p>
        </w:tc>
        <w:tc>
          <w:tcPr>
            <w:tcW w:w="1984" w:type="dxa"/>
          </w:tcPr>
          <w:p w14:paraId="077991C5" w14:textId="77777777" w:rsidR="007D1C37" w:rsidRDefault="00D22821" w:rsidP="007D1C37">
            <w:r>
              <w:t>£16.13</w:t>
            </w:r>
          </w:p>
        </w:tc>
        <w:tc>
          <w:tcPr>
            <w:tcW w:w="2127" w:type="dxa"/>
          </w:tcPr>
          <w:p w14:paraId="5DD9ED3C" w14:textId="77777777" w:rsidR="007D1C37" w:rsidRDefault="00D22821" w:rsidP="007D1C37">
            <w:r>
              <w:t>£15.09</w:t>
            </w:r>
          </w:p>
        </w:tc>
      </w:tr>
      <w:tr w:rsidR="007D1C37" w14:paraId="11D91836" w14:textId="77777777" w:rsidTr="000961B9">
        <w:trPr>
          <w:jc w:val="center"/>
        </w:trPr>
        <w:tc>
          <w:tcPr>
            <w:tcW w:w="1980" w:type="dxa"/>
          </w:tcPr>
          <w:p w14:paraId="185D0004" w14:textId="77777777" w:rsidR="007D1C37" w:rsidRPr="007D1C37" w:rsidRDefault="007D1C37" w:rsidP="007D1C37">
            <w:pPr>
              <w:rPr>
                <w:b/>
              </w:rPr>
            </w:pPr>
            <w:r w:rsidRPr="007D1C37">
              <w:rPr>
                <w:b/>
              </w:rPr>
              <w:t>Male</w:t>
            </w:r>
          </w:p>
        </w:tc>
        <w:tc>
          <w:tcPr>
            <w:tcW w:w="1984" w:type="dxa"/>
          </w:tcPr>
          <w:p w14:paraId="42D66548" w14:textId="77777777" w:rsidR="007D1C37" w:rsidRDefault="00D22821" w:rsidP="007D1C37">
            <w:r>
              <w:t>£15.96</w:t>
            </w:r>
          </w:p>
        </w:tc>
        <w:tc>
          <w:tcPr>
            <w:tcW w:w="2127" w:type="dxa"/>
          </w:tcPr>
          <w:p w14:paraId="35F84E1A" w14:textId="77777777" w:rsidR="007D1C37" w:rsidRDefault="00D22821" w:rsidP="007D1C37">
            <w:r>
              <w:t>£13.80</w:t>
            </w:r>
          </w:p>
        </w:tc>
      </w:tr>
      <w:tr w:rsidR="007D1C37" w14:paraId="323FDDB0" w14:textId="77777777" w:rsidTr="000961B9">
        <w:trPr>
          <w:jc w:val="center"/>
        </w:trPr>
        <w:tc>
          <w:tcPr>
            <w:tcW w:w="1980" w:type="dxa"/>
          </w:tcPr>
          <w:p w14:paraId="50827E26" w14:textId="77777777" w:rsidR="007D1C37" w:rsidRPr="007D1C37" w:rsidRDefault="007D1C37" w:rsidP="007D1C37">
            <w:pPr>
              <w:rPr>
                <w:b/>
              </w:rPr>
            </w:pPr>
            <w:r w:rsidRPr="007D1C37">
              <w:rPr>
                <w:b/>
              </w:rPr>
              <w:t>All staff</w:t>
            </w:r>
          </w:p>
        </w:tc>
        <w:tc>
          <w:tcPr>
            <w:tcW w:w="1984" w:type="dxa"/>
          </w:tcPr>
          <w:p w14:paraId="392E49ED" w14:textId="77777777" w:rsidR="007D1C37" w:rsidRDefault="00D22821" w:rsidP="007D1C37">
            <w:r>
              <w:t>£16.02</w:t>
            </w:r>
          </w:p>
        </w:tc>
        <w:tc>
          <w:tcPr>
            <w:tcW w:w="2127" w:type="dxa"/>
          </w:tcPr>
          <w:p w14:paraId="3FD6E5EF" w14:textId="77777777" w:rsidR="007D1C37" w:rsidRDefault="00D22821" w:rsidP="007D1C37">
            <w:r>
              <w:t>£14.56</w:t>
            </w:r>
          </w:p>
        </w:tc>
      </w:tr>
      <w:tr w:rsidR="007D1C37" w14:paraId="450EC173" w14:textId="77777777" w:rsidTr="000961B9">
        <w:trPr>
          <w:jc w:val="center"/>
        </w:trPr>
        <w:tc>
          <w:tcPr>
            <w:tcW w:w="1980" w:type="dxa"/>
          </w:tcPr>
          <w:p w14:paraId="572876F0" w14:textId="77777777" w:rsidR="007D1C37" w:rsidRPr="007D1C37" w:rsidRDefault="007D1C37" w:rsidP="007D1C37">
            <w:pPr>
              <w:rPr>
                <w:b/>
              </w:rPr>
            </w:pPr>
            <w:r w:rsidRPr="007D1C37">
              <w:rPr>
                <w:b/>
              </w:rPr>
              <w:t>Gender Pay Gap</w:t>
            </w:r>
          </w:p>
        </w:tc>
        <w:tc>
          <w:tcPr>
            <w:tcW w:w="1984" w:type="dxa"/>
          </w:tcPr>
          <w:p w14:paraId="4667B266" w14:textId="77777777" w:rsidR="007D1C37" w:rsidRPr="007D1C37" w:rsidRDefault="00D22821" w:rsidP="007D1C37">
            <w:pPr>
              <w:rPr>
                <w:b/>
              </w:rPr>
            </w:pPr>
            <w:r>
              <w:rPr>
                <w:b/>
              </w:rPr>
              <w:t>-1.1%</w:t>
            </w:r>
          </w:p>
        </w:tc>
        <w:tc>
          <w:tcPr>
            <w:tcW w:w="2127" w:type="dxa"/>
          </w:tcPr>
          <w:p w14:paraId="1333CB66" w14:textId="77777777" w:rsidR="007D1C37" w:rsidRPr="007D1C37" w:rsidRDefault="00D22821" w:rsidP="007D1C37">
            <w:pPr>
              <w:rPr>
                <w:b/>
              </w:rPr>
            </w:pPr>
            <w:r>
              <w:rPr>
                <w:b/>
              </w:rPr>
              <w:t>-9.4%</w:t>
            </w:r>
          </w:p>
        </w:tc>
      </w:tr>
    </w:tbl>
    <w:p w14:paraId="622037DC" w14:textId="77777777" w:rsidR="007D1C37" w:rsidRDefault="007D1C37" w:rsidP="007D1C37"/>
    <w:tbl>
      <w:tblPr>
        <w:tblStyle w:val="TableGrid"/>
        <w:tblW w:w="0" w:type="auto"/>
        <w:jc w:val="center"/>
        <w:tblLook w:val="04A0" w:firstRow="1" w:lastRow="0" w:firstColumn="1" w:lastColumn="0" w:noHBand="0" w:noVBand="1"/>
        <w:tblCaption w:val="Percentage of Headcount in each Pay Quarter"/>
        <w:tblDescription w:val="This table shows the percentage of male and female staff in each pay quarter"/>
      </w:tblPr>
      <w:tblGrid>
        <w:gridCol w:w="1892"/>
        <w:gridCol w:w="1893"/>
        <w:gridCol w:w="1893"/>
        <w:gridCol w:w="1893"/>
        <w:gridCol w:w="1893"/>
      </w:tblGrid>
      <w:tr w:rsidR="007D1C37" w14:paraId="279DE547" w14:textId="77777777" w:rsidTr="000961B9">
        <w:trPr>
          <w:tblHeader/>
          <w:jc w:val="center"/>
        </w:trPr>
        <w:tc>
          <w:tcPr>
            <w:tcW w:w="9464" w:type="dxa"/>
            <w:gridSpan w:val="5"/>
            <w:shd w:val="clear" w:color="auto" w:fill="035F1D"/>
          </w:tcPr>
          <w:p w14:paraId="090BE005" w14:textId="7D659441" w:rsidR="007D1C37" w:rsidRPr="000961B9" w:rsidRDefault="007D1C37" w:rsidP="00F30D39">
            <w:pPr>
              <w:pStyle w:val="FLSHeading4"/>
            </w:pPr>
            <w:r w:rsidRPr="000961B9">
              <w:t xml:space="preserve">Percentage </w:t>
            </w:r>
            <w:r w:rsidR="00FF6DC8" w:rsidRPr="000961B9">
              <w:t>of Headcount in each Pay Quarter</w:t>
            </w:r>
          </w:p>
        </w:tc>
      </w:tr>
      <w:tr w:rsidR="007D1C37" w14:paraId="24E779BC" w14:textId="77777777" w:rsidTr="000961B9">
        <w:trPr>
          <w:jc w:val="center"/>
        </w:trPr>
        <w:tc>
          <w:tcPr>
            <w:tcW w:w="1892" w:type="dxa"/>
          </w:tcPr>
          <w:p w14:paraId="6F7196E1" w14:textId="77777777" w:rsidR="007D1C37" w:rsidRDefault="007D1C37" w:rsidP="007D1C37"/>
        </w:tc>
        <w:tc>
          <w:tcPr>
            <w:tcW w:w="1893" w:type="dxa"/>
          </w:tcPr>
          <w:p w14:paraId="73B61784" w14:textId="77777777" w:rsidR="007D1C37" w:rsidRPr="007D1C37" w:rsidRDefault="007D1C37" w:rsidP="007D1C37">
            <w:pPr>
              <w:rPr>
                <w:b/>
              </w:rPr>
            </w:pPr>
            <w:r w:rsidRPr="007D1C37">
              <w:rPr>
                <w:b/>
              </w:rPr>
              <w:t>Lower</w:t>
            </w:r>
          </w:p>
        </w:tc>
        <w:tc>
          <w:tcPr>
            <w:tcW w:w="1893" w:type="dxa"/>
          </w:tcPr>
          <w:p w14:paraId="2BB124CE" w14:textId="77777777" w:rsidR="007D1C37" w:rsidRPr="007D1C37" w:rsidRDefault="007D1C37" w:rsidP="007D1C37">
            <w:pPr>
              <w:rPr>
                <w:b/>
              </w:rPr>
            </w:pPr>
            <w:r w:rsidRPr="007D1C37">
              <w:rPr>
                <w:b/>
              </w:rPr>
              <w:t>Lower Middle</w:t>
            </w:r>
          </w:p>
        </w:tc>
        <w:tc>
          <w:tcPr>
            <w:tcW w:w="1893" w:type="dxa"/>
          </w:tcPr>
          <w:p w14:paraId="45DDC46F" w14:textId="77777777" w:rsidR="007D1C37" w:rsidRPr="007D1C37" w:rsidRDefault="007D1C37" w:rsidP="007D1C37">
            <w:pPr>
              <w:rPr>
                <w:b/>
              </w:rPr>
            </w:pPr>
            <w:r w:rsidRPr="007D1C37">
              <w:rPr>
                <w:b/>
              </w:rPr>
              <w:t>Upper Middle</w:t>
            </w:r>
          </w:p>
        </w:tc>
        <w:tc>
          <w:tcPr>
            <w:tcW w:w="1893" w:type="dxa"/>
          </w:tcPr>
          <w:p w14:paraId="67C5A8BE" w14:textId="77777777" w:rsidR="007D1C37" w:rsidRPr="007D1C37" w:rsidRDefault="007D1C37" w:rsidP="007D1C37">
            <w:pPr>
              <w:rPr>
                <w:b/>
              </w:rPr>
            </w:pPr>
            <w:r w:rsidRPr="007D1C37">
              <w:rPr>
                <w:b/>
              </w:rPr>
              <w:t>Upper</w:t>
            </w:r>
          </w:p>
        </w:tc>
      </w:tr>
      <w:tr w:rsidR="007D1C37" w14:paraId="2674B777" w14:textId="77777777" w:rsidTr="000961B9">
        <w:trPr>
          <w:jc w:val="center"/>
        </w:trPr>
        <w:tc>
          <w:tcPr>
            <w:tcW w:w="1892" w:type="dxa"/>
          </w:tcPr>
          <w:p w14:paraId="5F35ECAC" w14:textId="77777777" w:rsidR="007D1C37" w:rsidRPr="007D1C37" w:rsidRDefault="007D1C37" w:rsidP="007D1C37">
            <w:pPr>
              <w:rPr>
                <w:b/>
              </w:rPr>
            </w:pPr>
            <w:r w:rsidRPr="007D1C37">
              <w:rPr>
                <w:b/>
              </w:rPr>
              <w:t>Female</w:t>
            </w:r>
          </w:p>
        </w:tc>
        <w:tc>
          <w:tcPr>
            <w:tcW w:w="1893" w:type="dxa"/>
          </w:tcPr>
          <w:p w14:paraId="32C57859" w14:textId="77777777" w:rsidR="007D1C37" w:rsidRDefault="000961B9" w:rsidP="007D1C37">
            <w:r>
              <w:t>40</w:t>
            </w:r>
            <w:r w:rsidR="00D22821">
              <w:t>%</w:t>
            </w:r>
          </w:p>
        </w:tc>
        <w:tc>
          <w:tcPr>
            <w:tcW w:w="1893" w:type="dxa"/>
          </w:tcPr>
          <w:p w14:paraId="5CA6BD74" w14:textId="77777777" w:rsidR="007D1C37" w:rsidRDefault="000961B9" w:rsidP="007D1C37">
            <w:r>
              <w:t>19</w:t>
            </w:r>
            <w:r w:rsidR="00D22821">
              <w:t>%</w:t>
            </w:r>
          </w:p>
        </w:tc>
        <w:tc>
          <w:tcPr>
            <w:tcW w:w="1893" w:type="dxa"/>
          </w:tcPr>
          <w:p w14:paraId="03BF0427" w14:textId="77777777" w:rsidR="007D1C37" w:rsidRDefault="000961B9" w:rsidP="007D1C37">
            <w:r>
              <w:t>3</w:t>
            </w:r>
            <w:r w:rsidR="00D22821">
              <w:t>7%</w:t>
            </w:r>
          </w:p>
        </w:tc>
        <w:tc>
          <w:tcPr>
            <w:tcW w:w="1893" w:type="dxa"/>
          </w:tcPr>
          <w:p w14:paraId="520F0D0E" w14:textId="77777777" w:rsidR="007D1C37" w:rsidRDefault="000961B9" w:rsidP="007D1C37">
            <w:r>
              <w:t>35</w:t>
            </w:r>
            <w:r w:rsidR="00D22821">
              <w:t>%</w:t>
            </w:r>
          </w:p>
        </w:tc>
      </w:tr>
      <w:tr w:rsidR="007D1C37" w14:paraId="7184FA2C" w14:textId="77777777" w:rsidTr="000961B9">
        <w:trPr>
          <w:jc w:val="center"/>
        </w:trPr>
        <w:tc>
          <w:tcPr>
            <w:tcW w:w="1892" w:type="dxa"/>
          </w:tcPr>
          <w:p w14:paraId="66AF20DA" w14:textId="77777777" w:rsidR="007D1C37" w:rsidRPr="007D1C37" w:rsidRDefault="007D1C37" w:rsidP="007D1C37">
            <w:pPr>
              <w:rPr>
                <w:b/>
              </w:rPr>
            </w:pPr>
            <w:r w:rsidRPr="007D1C37">
              <w:rPr>
                <w:b/>
              </w:rPr>
              <w:t>Male</w:t>
            </w:r>
          </w:p>
        </w:tc>
        <w:tc>
          <w:tcPr>
            <w:tcW w:w="1893" w:type="dxa"/>
          </w:tcPr>
          <w:p w14:paraId="678C361E" w14:textId="77777777" w:rsidR="007D1C37" w:rsidRDefault="000961B9" w:rsidP="007D1C37">
            <w:r>
              <w:t>60</w:t>
            </w:r>
            <w:r w:rsidR="00D22821">
              <w:t>%</w:t>
            </w:r>
          </w:p>
        </w:tc>
        <w:tc>
          <w:tcPr>
            <w:tcW w:w="1893" w:type="dxa"/>
          </w:tcPr>
          <w:p w14:paraId="0904FE75" w14:textId="77777777" w:rsidR="007D1C37" w:rsidRDefault="000961B9" w:rsidP="000961B9">
            <w:r>
              <w:t>81</w:t>
            </w:r>
            <w:r w:rsidR="00D22821">
              <w:t>%</w:t>
            </w:r>
          </w:p>
        </w:tc>
        <w:tc>
          <w:tcPr>
            <w:tcW w:w="1893" w:type="dxa"/>
          </w:tcPr>
          <w:p w14:paraId="1FA29504" w14:textId="77777777" w:rsidR="007D1C37" w:rsidRDefault="00D22821" w:rsidP="000961B9">
            <w:r>
              <w:t>6</w:t>
            </w:r>
            <w:r w:rsidR="000961B9">
              <w:t>3</w:t>
            </w:r>
            <w:r>
              <w:t>%</w:t>
            </w:r>
          </w:p>
        </w:tc>
        <w:tc>
          <w:tcPr>
            <w:tcW w:w="1893" w:type="dxa"/>
          </w:tcPr>
          <w:p w14:paraId="3B3B6B02" w14:textId="77777777" w:rsidR="007D1C37" w:rsidRDefault="00D22821" w:rsidP="007D1C37">
            <w:r>
              <w:t>6</w:t>
            </w:r>
            <w:r w:rsidR="000961B9">
              <w:t>5</w:t>
            </w:r>
            <w:r>
              <w:t>%</w:t>
            </w:r>
          </w:p>
        </w:tc>
      </w:tr>
    </w:tbl>
    <w:p w14:paraId="157E7102" w14:textId="77777777" w:rsidR="007D1C37" w:rsidRDefault="007D1C37" w:rsidP="007D1C37"/>
    <w:p w14:paraId="7B3D8669" w14:textId="77777777" w:rsidR="003077D2" w:rsidRDefault="003077D2" w:rsidP="00FF6DC8">
      <w:pPr>
        <w:pStyle w:val="FLSBody"/>
      </w:pPr>
    </w:p>
    <w:p w14:paraId="2EC2197E" w14:textId="025A5286" w:rsidR="00FF6DC8" w:rsidRDefault="00FF6DC8" w:rsidP="00FF6DC8">
      <w:pPr>
        <w:pStyle w:val="FLSBody"/>
      </w:pPr>
      <w:r>
        <w:lastRenderedPageBreak/>
        <w:t xml:space="preserve">The gender pay gap is calculated using the median and mean hourly wages: </w:t>
      </w:r>
    </w:p>
    <w:p w14:paraId="6758C05A" w14:textId="6922DF22" w:rsidR="00FF6DC8" w:rsidRPr="00FF6DC8" w:rsidRDefault="00FF6DC8" w:rsidP="00FF6DC8">
      <w:pPr>
        <w:pStyle w:val="FLSBullets"/>
        <w:rPr>
          <w:b/>
        </w:rPr>
      </w:pPr>
      <w:r>
        <w:t xml:space="preserve">Mean hourly rate is calculated by adding all hourly rates and dividing this by the number of staff in the group. </w:t>
      </w:r>
      <w:r w:rsidR="003077D2">
        <w:t>The mean is</w:t>
      </w:r>
      <w:bookmarkStart w:id="0" w:name="_GoBack"/>
      <w:bookmarkEnd w:id="0"/>
      <w:r w:rsidR="003077D2">
        <w:t xml:space="preserve"> affected by small numbers of very high or very low earners.</w:t>
      </w:r>
    </w:p>
    <w:p w14:paraId="52D824C5" w14:textId="77777777" w:rsidR="00FF6DC8" w:rsidRDefault="00FF6DC8" w:rsidP="00FF6DC8">
      <w:pPr>
        <w:pStyle w:val="FLSBullets"/>
      </w:pPr>
      <w:r>
        <w:t>Median hourly rate is calculated by lining up all the hourly rates in the group from lowest to highest, and identifying the rate in the middle.</w:t>
      </w:r>
      <w:r w:rsidR="000961B9">
        <w:t xml:space="preserve"> The median is unaffected by small numbers of very high or very low earners.</w:t>
      </w:r>
    </w:p>
    <w:p w14:paraId="49077EDF" w14:textId="0B4A17F2" w:rsidR="00FF6DC8" w:rsidRDefault="00FF6DC8" w:rsidP="00FF6DC8">
      <w:pPr>
        <w:pStyle w:val="FLSBody"/>
      </w:pPr>
      <w:r>
        <w:t>Both the median and the mean hourly rates</w:t>
      </w:r>
      <w:r w:rsidR="003077D2">
        <w:t xml:space="preserve"> show a negative gender pay gap.</w:t>
      </w:r>
    </w:p>
    <w:p w14:paraId="3F9AFAAB" w14:textId="77777777" w:rsidR="00FF6DC8" w:rsidRDefault="00FF6DC8" w:rsidP="00FF6DC8">
      <w:pPr>
        <w:pStyle w:val="FLSBody"/>
      </w:pPr>
    </w:p>
    <w:p w14:paraId="15F91610" w14:textId="036FA612" w:rsidR="007D1C37" w:rsidRDefault="00FF6DC8" w:rsidP="007D1C37">
      <w:pPr>
        <w:pStyle w:val="FLSBody"/>
      </w:pPr>
      <w:r>
        <w:t xml:space="preserve">The percentage of headcount by pay quarters </w:t>
      </w:r>
      <w:r w:rsidRPr="00FF6DC8">
        <w:t xml:space="preserve">show the spread of </w:t>
      </w:r>
      <w:r>
        <w:t>men and women</w:t>
      </w:r>
      <w:r w:rsidRPr="00FF6DC8">
        <w:t xml:space="preserve"> throughout the </w:t>
      </w:r>
      <w:proofErr w:type="spellStart"/>
      <w:r w:rsidRPr="00FF6DC8">
        <w:t>organisation</w:t>
      </w:r>
      <w:proofErr w:type="spellEnd"/>
      <w:r w:rsidRPr="00FF6DC8">
        <w:t xml:space="preserve"> by pay. </w:t>
      </w:r>
      <w:r w:rsidR="000961B9" w:rsidRPr="00472195">
        <w:t xml:space="preserve">The lower </w:t>
      </w:r>
      <w:r w:rsidR="000961B9">
        <w:t>quarter</w:t>
      </w:r>
      <w:r w:rsidR="000961B9" w:rsidRPr="00472195">
        <w:t xml:space="preserve"> of staff comprises 4</w:t>
      </w:r>
      <w:r w:rsidR="000961B9">
        <w:t>0</w:t>
      </w:r>
      <w:r w:rsidR="000961B9" w:rsidRPr="00472195">
        <w:t>% female staff and the upper quart</w:t>
      </w:r>
      <w:r w:rsidR="000961B9">
        <w:t>er</w:t>
      </w:r>
      <w:r w:rsidR="000961B9" w:rsidRPr="00472195">
        <w:t xml:space="preserve"> comprises 3</w:t>
      </w:r>
      <w:r w:rsidR="000961B9">
        <w:t>5</w:t>
      </w:r>
      <w:r w:rsidR="000961B9" w:rsidRPr="00472195">
        <w:t>%. This compares with the wider</w:t>
      </w:r>
      <w:r w:rsidR="000961B9">
        <w:t xml:space="preserve"> FLS population of 33% women. An area of blockage is the Lower Middle quarter, where there are just 19% women. </w:t>
      </w:r>
    </w:p>
    <w:p w14:paraId="0FD028F9" w14:textId="34844EA4" w:rsidR="007D1C37" w:rsidRPr="00776125" w:rsidRDefault="007D1C37" w:rsidP="007D1C37">
      <w:pPr>
        <w:pStyle w:val="FLSHeading3"/>
      </w:pPr>
      <w:r>
        <w:t xml:space="preserve">Actions we are taking to create gender </w:t>
      </w:r>
      <w:r w:rsidR="006E7661">
        <w:t>balance</w:t>
      </w:r>
    </w:p>
    <w:p w14:paraId="5C88162C" w14:textId="77777777" w:rsidR="00FF6DC8" w:rsidRDefault="000961B9" w:rsidP="00FF6DC8">
      <w:pPr>
        <w:pStyle w:val="FLSBody"/>
      </w:pPr>
      <w:r>
        <w:rPr>
          <w:shd w:val="clear" w:color="auto" w:fill="FFFFFF"/>
        </w:rPr>
        <w:t xml:space="preserve">Forestry and Land Scotland supports the fair treatment and reward of all staff irrespective of gender. </w:t>
      </w:r>
      <w:r w:rsidR="00FF6DC8">
        <w:t>We have pay and conditions of employment that do not discriminate unlawfully and are free from bias by ensuring that equal pay is in place for like work, work rated as equivalent and work of equal value.</w:t>
      </w:r>
      <w:r>
        <w:t xml:space="preserve"> </w:t>
      </w:r>
    </w:p>
    <w:p w14:paraId="6BC76FE5" w14:textId="22186902" w:rsidR="000961B9" w:rsidRDefault="000961B9" w:rsidP="00FF6DC8">
      <w:pPr>
        <w:pStyle w:val="FLSBody"/>
      </w:pPr>
    </w:p>
    <w:p w14:paraId="1D8147AC" w14:textId="1CFCFBE5" w:rsidR="006E7661" w:rsidRPr="001B0B43" w:rsidRDefault="006E7661" w:rsidP="00FF6DC8">
      <w:pPr>
        <w:pStyle w:val="FLSBody"/>
      </w:pPr>
      <w:r>
        <w:t>These are specific actions we are taking to create gender balance in the workplace:</w:t>
      </w:r>
    </w:p>
    <w:p w14:paraId="7FED152E" w14:textId="77777777" w:rsidR="006E7661" w:rsidRDefault="000961B9" w:rsidP="006E7661">
      <w:pPr>
        <w:pStyle w:val="FLSBullets"/>
      </w:pPr>
      <w:r>
        <w:t>Removing unnecessary criteria from job descriptions</w:t>
      </w:r>
      <w:r w:rsidR="006E7661">
        <w:t>, with support from Equate</w:t>
      </w:r>
    </w:p>
    <w:p w14:paraId="7B3A0273" w14:textId="417A4E5B" w:rsidR="000961B9" w:rsidRDefault="006E7661" w:rsidP="006E7661">
      <w:pPr>
        <w:pStyle w:val="FLSBullets"/>
      </w:pPr>
      <w:r>
        <w:t xml:space="preserve">Ensuring there is </w:t>
      </w:r>
      <w:r w:rsidR="002C03A8">
        <w:t>gender balance</w:t>
      </w:r>
      <w:r>
        <w:t xml:space="preserve"> on all re</w:t>
      </w:r>
      <w:r w:rsidR="000961B9">
        <w:t>cruitment panels</w:t>
      </w:r>
    </w:p>
    <w:p w14:paraId="5362A21D" w14:textId="584D4BEC" w:rsidR="002C03A8" w:rsidRPr="000961B9" w:rsidRDefault="002C03A8" w:rsidP="002C03A8">
      <w:pPr>
        <w:pStyle w:val="FLSBullets"/>
        <w:rPr>
          <w:lang w:eastAsia="en-GB"/>
        </w:rPr>
      </w:pPr>
      <w:r>
        <w:rPr>
          <w:lang w:eastAsia="en-GB"/>
        </w:rPr>
        <w:t xml:space="preserve">Using a </w:t>
      </w:r>
      <w:r w:rsidRPr="000961B9">
        <w:rPr>
          <w:lang w:eastAsia="en-GB"/>
        </w:rPr>
        <w:t xml:space="preserve">structured interview process for all our vacancies, </w:t>
      </w:r>
      <w:r>
        <w:rPr>
          <w:lang w:eastAsia="en-GB"/>
        </w:rPr>
        <w:t>with</w:t>
      </w:r>
      <w:r w:rsidRPr="000961B9">
        <w:rPr>
          <w:lang w:eastAsia="en-GB"/>
        </w:rPr>
        <w:t xml:space="preserve"> a competency-based framework. We also anonymise our applications to guard against any unconscious bias from recruiting </w:t>
      </w:r>
      <w:r>
        <w:rPr>
          <w:lang w:eastAsia="en-GB"/>
        </w:rPr>
        <w:t>panels</w:t>
      </w:r>
      <w:r w:rsidRPr="000961B9">
        <w:rPr>
          <w:lang w:eastAsia="en-GB"/>
        </w:rPr>
        <w:t>.</w:t>
      </w:r>
    </w:p>
    <w:p w14:paraId="63CB759F" w14:textId="38BA88EA" w:rsidR="002C03A8" w:rsidRPr="002C03A8" w:rsidRDefault="002C03A8" w:rsidP="002C03A8">
      <w:pPr>
        <w:pStyle w:val="FLSBullets"/>
      </w:pPr>
      <w:r w:rsidRPr="002C03A8">
        <w:t xml:space="preserve">Continuing to use transparent promotion, pay and reward processes. For example, there is senior sign off for non-standard pay progression amounts. </w:t>
      </w:r>
    </w:p>
    <w:p w14:paraId="71DFB9A0" w14:textId="77777777" w:rsidR="002C03A8" w:rsidRDefault="002C03A8" w:rsidP="002C03A8">
      <w:pPr>
        <w:pStyle w:val="FLSBullets"/>
        <w:rPr>
          <w:lang w:eastAsia="en-GB"/>
        </w:rPr>
      </w:pPr>
      <w:r w:rsidRPr="001B0B43">
        <w:rPr>
          <w:lang w:eastAsia="en-GB"/>
        </w:rPr>
        <w:t xml:space="preserve">Our </w:t>
      </w:r>
      <w:r>
        <w:rPr>
          <w:lang w:eastAsia="en-GB"/>
        </w:rPr>
        <w:t>pay</w:t>
      </w:r>
      <w:r w:rsidRPr="001B0B43">
        <w:rPr>
          <w:lang w:eastAsia="en-GB"/>
        </w:rPr>
        <w:t xml:space="preserve"> negotiation is carried out on a corporate basis with our trade union</w:t>
      </w:r>
      <w:r>
        <w:rPr>
          <w:lang w:eastAsia="en-GB"/>
        </w:rPr>
        <w:t>s</w:t>
      </w:r>
      <w:r w:rsidRPr="001B0B43">
        <w:rPr>
          <w:lang w:eastAsia="en-GB"/>
        </w:rPr>
        <w:t xml:space="preserve">, rather than an individual basis. All our salary points are published on our intranet and are visible to all our </w:t>
      </w:r>
      <w:r>
        <w:rPr>
          <w:lang w:eastAsia="en-GB"/>
        </w:rPr>
        <w:t>staff</w:t>
      </w:r>
      <w:r w:rsidRPr="001B0B43">
        <w:rPr>
          <w:lang w:eastAsia="en-GB"/>
        </w:rPr>
        <w:t>. The relevant salary points are included in job adverts.</w:t>
      </w:r>
    </w:p>
    <w:p w14:paraId="7B7CFB5F" w14:textId="077D3ECF" w:rsidR="000961B9" w:rsidRDefault="006E7661" w:rsidP="000961B9">
      <w:pPr>
        <w:pStyle w:val="FLSBullets"/>
      </w:pPr>
      <w:r>
        <w:t xml:space="preserve">Equality and Diversity training </w:t>
      </w:r>
      <w:r w:rsidR="002C03A8">
        <w:t>is compulsory for all our workforce, which they must refresh each year</w:t>
      </w:r>
      <w:r w:rsidR="003077D2">
        <w:t>.</w:t>
      </w:r>
      <w:r w:rsidR="002C03A8">
        <w:t xml:space="preserve"> </w:t>
      </w:r>
    </w:p>
    <w:p w14:paraId="4C006A6D" w14:textId="77777777" w:rsidR="007D1C37" w:rsidRDefault="007D1C37" w:rsidP="007D1C37">
      <w:pPr>
        <w:pStyle w:val="FLSBody"/>
        <w:rPr>
          <w:b/>
        </w:rPr>
      </w:pPr>
    </w:p>
    <w:p w14:paraId="46FFBAF4" w14:textId="5B273C42" w:rsidR="000961B9" w:rsidRPr="008802A7" w:rsidRDefault="008802A7" w:rsidP="008802A7">
      <w:pPr>
        <w:pStyle w:val="FLSBody"/>
      </w:pPr>
      <w:r>
        <w:t>I confirm that the data reported and the calculations produced are accurate.</w:t>
      </w:r>
    </w:p>
    <w:p w14:paraId="754271B0" w14:textId="6BAE4195" w:rsidR="003077D2" w:rsidRDefault="00C261D9" w:rsidP="007D1C37">
      <w:pPr>
        <w:pStyle w:val="FLSBody"/>
        <w:rPr>
          <w:b/>
          <w:highlight w:val="yellow"/>
        </w:rPr>
      </w:pPr>
      <w:r>
        <w:rPr>
          <w:b/>
          <w:noProof/>
          <w:lang w:val="en-GB" w:eastAsia="en-GB"/>
        </w:rPr>
        <w:drawing>
          <wp:inline distT="0" distB="0" distL="0" distR="0" wp14:anchorId="509840F5" wp14:editId="1AD52127">
            <wp:extent cx="2091746" cy="454660"/>
            <wp:effectExtent l="0" t="0" r="3810" b="2540"/>
            <wp:docPr id="1" name="Picture 1" descr="Signature of FLS Chief Execu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mon's signature.jpg"/>
                    <pic:cNvPicPr/>
                  </pic:nvPicPr>
                  <pic:blipFill>
                    <a:blip r:embed="rId8">
                      <a:extLst>
                        <a:ext uri="{28A0092B-C50C-407E-A947-70E740481C1C}">
                          <a14:useLocalDpi xmlns:a14="http://schemas.microsoft.com/office/drawing/2010/main" val="0"/>
                        </a:ext>
                      </a:extLst>
                    </a:blip>
                    <a:stretch>
                      <a:fillRect/>
                    </a:stretch>
                  </pic:blipFill>
                  <pic:spPr>
                    <a:xfrm>
                      <a:off x="0" y="0"/>
                      <a:ext cx="2114824" cy="459676"/>
                    </a:xfrm>
                    <a:prstGeom prst="rect">
                      <a:avLst/>
                    </a:prstGeom>
                  </pic:spPr>
                </pic:pic>
              </a:graphicData>
            </a:graphic>
          </wp:inline>
        </w:drawing>
      </w:r>
    </w:p>
    <w:p w14:paraId="75A7D1F4" w14:textId="0D9C665B" w:rsidR="003077D2" w:rsidRPr="003077D2" w:rsidRDefault="003077D2" w:rsidP="007D1C37">
      <w:pPr>
        <w:pStyle w:val="FLSBody"/>
        <w:rPr>
          <w:color w:val="035F1D"/>
        </w:rPr>
      </w:pPr>
      <w:r w:rsidRPr="003077D2">
        <w:rPr>
          <w:color w:val="035F1D"/>
        </w:rPr>
        <w:t>Simon Hodgson</w:t>
      </w:r>
    </w:p>
    <w:p w14:paraId="2E4C618D" w14:textId="32F26FC6" w:rsidR="003077D2" w:rsidRPr="003077D2" w:rsidRDefault="003077D2" w:rsidP="003077D2">
      <w:pPr>
        <w:pStyle w:val="FLSBody"/>
        <w:rPr>
          <w:color w:val="035F1D"/>
        </w:rPr>
      </w:pPr>
      <w:r w:rsidRPr="003077D2">
        <w:rPr>
          <w:color w:val="035F1D"/>
        </w:rPr>
        <w:t>Chief Executive, Forestry and Land Scotland</w:t>
      </w:r>
    </w:p>
    <w:sectPr w:rsidR="003077D2" w:rsidRPr="003077D2" w:rsidSect="000961B9">
      <w:headerReference w:type="default" r:id="rId9"/>
      <w:headerReference w:type="first" r:id="rId10"/>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089D1" w14:textId="77777777" w:rsidR="006824D0" w:rsidRDefault="006824D0" w:rsidP="00DA5B6C">
      <w:pPr>
        <w:spacing w:after="0" w:line="240" w:lineRule="auto"/>
      </w:pPr>
      <w:r>
        <w:separator/>
      </w:r>
    </w:p>
  </w:endnote>
  <w:endnote w:type="continuationSeparator" w:id="0">
    <w:p w14:paraId="2BAA2D08" w14:textId="77777777" w:rsidR="006824D0" w:rsidRDefault="006824D0"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F8225" w14:textId="77777777" w:rsidR="006824D0" w:rsidRDefault="006824D0" w:rsidP="00DA5B6C">
      <w:pPr>
        <w:spacing w:after="0" w:line="240" w:lineRule="auto"/>
      </w:pPr>
      <w:r>
        <w:separator/>
      </w:r>
    </w:p>
  </w:footnote>
  <w:footnote w:type="continuationSeparator" w:id="0">
    <w:p w14:paraId="3D57E19F" w14:textId="77777777" w:rsidR="006824D0" w:rsidRDefault="006824D0"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080BE" w14:textId="77777777" w:rsidR="00E930D6" w:rsidRDefault="00E930D6" w:rsidP="00E930D6">
    <w:pPr>
      <w:ind w:left="-99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259F9" w14:textId="77777777" w:rsidR="00BB26FF" w:rsidRDefault="00787B4C" w:rsidP="00787B4C">
    <w:pPr>
      <w:ind w:left="-993"/>
    </w:pPr>
    <w:r>
      <w:rPr>
        <w:noProof/>
        <w:lang w:val="en-GB" w:eastAsia="en-GB"/>
      </w:rPr>
      <w:drawing>
        <wp:inline distT="0" distB="0" distL="0" distR="0" wp14:anchorId="6007289E" wp14:editId="0DAE1EE7">
          <wp:extent cx="7940102" cy="1499350"/>
          <wp:effectExtent l="0" t="0" r="0" b="0"/>
          <wp:docPr id="2" name="Picture 2"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981216" cy="150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48484753"/>
    <w:multiLevelType w:val="hybridMultilevel"/>
    <w:tmpl w:val="07E8B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6809DE"/>
    <w:multiLevelType w:val="hybridMultilevel"/>
    <w:tmpl w:val="9544E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C37"/>
    <w:rsid w:val="000961B9"/>
    <w:rsid w:val="000B162C"/>
    <w:rsid w:val="00103FCF"/>
    <w:rsid w:val="001120D7"/>
    <w:rsid w:val="00135506"/>
    <w:rsid w:val="00142C6B"/>
    <w:rsid w:val="00154AAA"/>
    <w:rsid w:val="00155C4F"/>
    <w:rsid w:val="001A7C0F"/>
    <w:rsid w:val="001F2DCE"/>
    <w:rsid w:val="0020052E"/>
    <w:rsid w:val="00204906"/>
    <w:rsid w:val="00220626"/>
    <w:rsid w:val="002406AF"/>
    <w:rsid w:val="002C03A8"/>
    <w:rsid w:val="002E01F8"/>
    <w:rsid w:val="00305586"/>
    <w:rsid w:val="003077D2"/>
    <w:rsid w:val="00321C99"/>
    <w:rsid w:val="00381112"/>
    <w:rsid w:val="003B7DA7"/>
    <w:rsid w:val="003D5DF0"/>
    <w:rsid w:val="003F7776"/>
    <w:rsid w:val="00407F61"/>
    <w:rsid w:val="00444468"/>
    <w:rsid w:val="004A3702"/>
    <w:rsid w:val="004B7E90"/>
    <w:rsid w:val="004D616D"/>
    <w:rsid w:val="004F380D"/>
    <w:rsid w:val="004F38DE"/>
    <w:rsid w:val="0051308F"/>
    <w:rsid w:val="00515246"/>
    <w:rsid w:val="0053563D"/>
    <w:rsid w:val="00545187"/>
    <w:rsid w:val="00572FFF"/>
    <w:rsid w:val="005866C7"/>
    <w:rsid w:val="00595E9D"/>
    <w:rsid w:val="00645688"/>
    <w:rsid w:val="00664672"/>
    <w:rsid w:val="006824D0"/>
    <w:rsid w:val="00682EE6"/>
    <w:rsid w:val="006E7376"/>
    <w:rsid w:val="006E7661"/>
    <w:rsid w:val="006F65BE"/>
    <w:rsid w:val="00723FEB"/>
    <w:rsid w:val="00760ADB"/>
    <w:rsid w:val="0078651A"/>
    <w:rsid w:val="00787B4C"/>
    <w:rsid w:val="007D1C37"/>
    <w:rsid w:val="007E739A"/>
    <w:rsid w:val="00826EC9"/>
    <w:rsid w:val="00851627"/>
    <w:rsid w:val="008643C4"/>
    <w:rsid w:val="008654C2"/>
    <w:rsid w:val="00873E15"/>
    <w:rsid w:val="008802A7"/>
    <w:rsid w:val="00896E42"/>
    <w:rsid w:val="008B108A"/>
    <w:rsid w:val="008B1311"/>
    <w:rsid w:val="008D7EBF"/>
    <w:rsid w:val="008E14D3"/>
    <w:rsid w:val="008E4664"/>
    <w:rsid w:val="00996645"/>
    <w:rsid w:val="00997ACD"/>
    <w:rsid w:val="009B49BC"/>
    <w:rsid w:val="009F2566"/>
    <w:rsid w:val="00A1467D"/>
    <w:rsid w:val="00A25CAA"/>
    <w:rsid w:val="00A51AB2"/>
    <w:rsid w:val="00A734FD"/>
    <w:rsid w:val="00A754D0"/>
    <w:rsid w:val="00A93F56"/>
    <w:rsid w:val="00AC04DF"/>
    <w:rsid w:val="00B07461"/>
    <w:rsid w:val="00B3359E"/>
    <w:rsid w:val="00B341F7"/>
    <w:rsid w:val="00B42C07"/>
    <w:rsid w:val="00B430AC"/>
    <w:rsid w:val="00B71671"/>
    <w:rsid w:val="00BA6838"/>
    <w:rsid w:val="00BB26FF"/>
    <w:rsid w:val="00C111B8"/>
    <w:rsid w:val="00C261D9"/>
    <w:rsid w:val="00C444EF"/>
    <w:rsid w:val="00CD14BF"/>
    <w:rsid w:val="00CE5DF1"/>
    <w:rsid w:val="00CF2299"/>
    <w:rsid w:val="00D22821"/>
    <w:rsid w:val="00D35B91"/>
    <w:rsid w:val="00D4491B"/>
    <w:rsid w:val="00D52DA1"/>
    <w:rsid w:val="00D904DD"/>
    <w:rsid w:val="00DA5433"/>
    <w:rsid w:val="00DA5B6C"/>
    <w:rsid w:val="00DE5F96"/>
    <w:rsid w:val="00E72B73"/>
    <w:rsid w:val="00E81F81"/>
    <w:rsid w:val="00E9285E"/>
    <w:rsid w:val="00E930D6"/>
    <w:rsid w:val="00E974F6"/>
    <w:rsid w:val="00EA1451"/>
    <w:rsid w:val="00EF23A0"/>
    <w:rsid w:val="00F234C1"/>
    <w:rsid w:val="00F30D39"/>
    <w:rsid w:val="00F56B72"/>
    <w:rsid w:val="00F63B55"/>
    <w:rsid w:val="00F81FD6"/>
    <w:rsid w:val="00F86F85"/>
    <w:rsid w:val="00F917EF"/>
    <w:rsid w:val="00FB5171"/>
    <w:rsid w:val="00FE7A28"/>
    <w:rsid w:val="00FF26DD"/>
    <w:rsid w:val="00FF6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6E95F6"/>
  <w14:defaultImageDpi w14:val="0"/>
  <w15:docId w15:val="{190FA49E-3CF3-4631-AD80-37540B80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4C2"/>
    <w:pPr>
      <w:spacing w:after="200" w:line="276" w:lineRule="auto"/>
    </w:pPr>
    <w:rPr>
      <w:rFonts w:cs="Times New Roman"/>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Heading-BulletsNumbers">
    <w:name w:val="FLS Heading - Bullets &amp; Numbers"/>
    <w:basedOn w:val="Normal"/>
    <w:qFormat/>
    <w:rsid w:val="00723FEB"/>
    <w:pPr>
      <w:autoSpaceDE w:val="0"/>
      <w:autoSpaceDN w:val="0"/>
      <w:adjustRightInd w:val="0"/>
      <w:spacing w:after="0" w:line="241" w:lineRule="atLeast"/>
    </w:pPr>
    <w:rPr>
      <w:b/>
      <w:color w:val="40A74D"/>
      <w:sz w:val="24"/>
      <w:szCs w:val="24"/>
      <w:lang w:val="en-GB"/>
    </w:rPr>
  </w:style>
  <w:style w:type="paragraph" w:styleId="Header">
    <w:name w:val="header"/>
    <w:basedOn w:val="Normal"/>
    <w:link w:val="HeaderChar"/>
    <w:uiPriority w:val="99"/>
    <w:unhideWhenUsed/>
    <w:rsid w:val="00723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FEB"/>
    <w:rPr>
      <w:rFonts w:cs="Times New Roman"/>
      <w:sz w:val="22"/>
      <w:szCs w:val="22"/>
      <w:lang w:val="en-US"/>
    </w:rPr>
  </w:style>
  <w:style w:type="paragraph" w:styleId="Footer">
    <w:name w:val="footer"/>
    <w:basedOn w:val="Normal"/>
    <w:link w:val="FooterChar"/>
    <w:uiPriority w:val="99"/>
    <w:unhideWhenUsed/>
    <w:rsid w:val="00723FEB"/>
    <w:pPr>
      <w:tabs>
        <w:tab w:val="center" w:pos="4513"/>
        <w:tab w:val="right" w:pos="9026"/>
      </w:tabs>
      <w:spacing w:after="0" w:line="240" w:lineRule="auto"/>
    </w:pPr>
  </w:style>
  <w:style w:type="paragraph" w:customStyle="1" w:styleId="FLSDocumentFooter">
    <w:name w:val="FLS Document Footer"/>
    <w:basedOn w:val="Normal"/>
    <w:qFormat/>
    <w:rsid w:val="00723FEB"/>
    <w:pPr>
      <w:ind w:left="-454"/>
    </w:pPr>
    <w:rPr>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Bold">
    <w:name w:val="FLS Heading 2 Bold"/>
    <w:autoRedefine/>
    <w:qFormat/>
    <w:rsid w:val="00723FEB"/>
    <w:pPr>
      <w:spacing w:after="160" w:line="480" w:lineRule="exact"/>
      <w:contextualSpacing/>
    </w:pPr>
    <w:rPr>
      <w:rFonts w:cs="Times New Roman"/>
      <w:b/>
      <w:color w:val="48A23F"/>
      <w:sz w:val="44"/>
      <w:szCs w:val="22"/>
      <w:lang w:val="en-US"/>
    </w:rPr>
  </w:style>
  <w:style w:type="paragraph" w:customStyle="1" w:styleId="FLSHeading2">
    <w:name w:val="FLS Heading 2"/>
    <w:autoRedefine/>
    <w:qFormat/>
    <w:rsid w:val="00645688"/>
    <w:pPr>
      <w:spacing w:after="160" w:line="480" w:lineRule="exact"/>
      <w:contextualSpacing/>
    </w:pPr>
    <w:rPr>
      <w:rFonts w:cs="Times New Roman"/>
      <w:color w:val="48A23F"/>
      <w:sz w:val="44"/>
      <w:szCs w:val="22"/>
      <w:lang w:val="en-US"/>
    </w:rPr>
  </w:style>
  <w:style w:type="paragraph" w:customStyle="1" w:styleId="FLSHeading3Bold">
    <w:name w:val="FLS Heading 3 Bold"/>
    <w:autoRedefine/>
    <w:qFormat/>
    <w:rsid w:val="00723FEB"/>
    <w:pPr>
      <w:spacing w:after="160" w:line="400" w:lineRule="exact"/>
      <w:contextualSpacing/>
    </w:pPr>
    <w:rPr>
      <w:rFonts w:cs="Times New Roman"/>
      <w:b/>
      <w:bCs/>
      <w:color w:val="48A23F"/>
      <w:sz w:val="36"/>
      <w:szCs w:val="22"/>
      <w:lang w:val="en-US"/>
    </w:rPr>
  </w:style>
  <w:style w:type="paragraph" w:customStyle="1" w:styleId="FLSHeading3">
    <w:name w:val="FLS Heading 3"/>
    <w:autoRedefine/>
    <w:qFormat/>
    <w:rsid w:val="00154AAA"/>
    <w:pPr>
      <w:spacing w:after="160" w:line="400" w:lineRule="exact"/>
      <w:contextualSpacing/>
    </w:pPr>
    <w:rPr>
      <w:rFonts w:cs="Times New Roman"/>
      <w:bCs/>
      <w:color w:val="48A23F"/>
      <w:sz w:val="36"/>
      <w:szCs w:val="22"/>
      <w:lang w:val="en-US"/>
    </w:rPr>
  </w:style>
  <w:style w:type="paragraph" w:customStyle="1" w:styleId="FLSHeadingBold4">
    <w:name w:val="FLS Heading Bold 4"/>
    <w:autoRedefine/>
    <w:qFormat/>
    <w:rsid w:val="00BB26FF"/>
    <w:pPr>
      <w:spacing w:after="160" w:line="320" w:lineRule="exact"/>
      <w:contextualSpacing/>
    </w:pPr>
    <w:rPr>
      <w:rFonts w:cs="Times New Roman"/>
      <w:b/>
      <w:bCs/>
      <w:color w:val="48A23F"/>
      <w:sz w:val="28"/>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645688"/>
    <w:pPr>
      <w:spacing w:after="160" w:line="680" w:lineRule="exact"/>
      <w:contextualSpacing/>
    </w:pPr>
    <w:rPr>
      <w:rFonts w:cs="Times New Roman"/>
      <w:b/>
      <w:color w:val="48A23F"/>
      <w:sz w:val="64"/>
      <w:szCs w:val="24"/>
    </w:rPr>
  </w:style>
  <w:style w:type="paragraph" w:customStyle="1" w:styleId="FLSHeading1">
    <w:name w:val="FLS Heading 1"/>
    <w:autoRedefine/>
    <w:qFormat/>
    <w:rsid w:val="00723FEB"/>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F30D39"/>
    <w:pPr>
      <w:spacing w:after="160" w:line="320" w:lineRule="exact"/>
      <w:contextualSpacing/>
      <w:jc w:val="center"/>
    </w:pPr>
    <w:rPr>
      <w:rFonts w:cs="Times New Roman"/>
      <w:bCs/>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FooterChar">
    <w:name w:val="Footer Char"/>
    <w:basedOn w:val="DefaultParagraphFont"/>
    <w:link w:val="Footer"/>
    <w:uiPriority w:val="99"/>
    <w:rsid w:val="00723FEB"/>
    <w:rPr>
      <w:rFonts w:cs="Times New Roman"/>
      <w:sz w:val="22"/>
      <w:szCs w:val="22"/>
      <w:lang w:val="en-US"/>
    </w:rPr>
  </w:style>
  <w:style w:type="character" w:styleId="Hyperlink">
    <w:name w:val="Hyperlink"/>
    <w:basedOn w:val="DefaultParagraphFont"/>
    <w:uiPriority w:val="99"/>
    <w:unhideWhenUsed/>
    <w:rsid w:val="00154AAA"/>
    <w:rPr>
      <w:color w:val="0000FF" w:themeColor="hyperlink"/>
      <w:u w:val="single"/>
    </w:rPr>
  </w:style>
  <w:style w:type="character" w:styleId="FollowedHyperlink">
    <w:name w:val="FollowedHyperlink"/>
    <w:basedOn w:val="DefaultParagraphFont"/>
    <w:uiPriority w:val="99"/>
    <w:semiHidden/>
    <w:unhideWhenUsed/>
    <w:rsid w:val="00154AAA"/>
    <w:rPr>
      <w:color w:val="800080" w:themeColor="followedHyperlink"/>
      <w:u w:val="single"/>
    </w:rPr>
  </w:style>
  <w:style w:type="paragraph" w:styleId="NormalWeb">
    <w:name w:val="Normal (Web)"/>
    <w:basedOn w:val="Normal"/>
    <w:uiPriority w:val="99"/>
    <w:semiHidden/>
    <w:unhideWhenUsed/>
    <w:rsid w:val="007D1C37"/>
    <w:pPr>
      <w:spacing w:before="100" w:beforeAutospacing="1" w:after="100" w:afterAutospacing="1" w:line="240" w:lineRule="auto"/>
    </w:pPr>
    <w:rPr>
      <w:rFonts w:ascii="Times New Roman" w:hAnsi="Times New Roman"/>
      <w:sz w:val="24"/>
      <w:szCs w:val="24"/>
      <w:lang w:val="en-GB" w:eastAsia="en-GB"/>
    </w:rPr>
  </w:style>
  <w:style w:type="table" w:styleId="TableGrid">
    <w:name w:val="Table Grid"/>
    <w:basedOn w:val="TableNormal"/>
    <w:uiPriority w:val="59"/>
    <w:rsid w:val="007D1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1C37"/>
    <w:pPr>
      <w:spacing w:after="0" w:line="240" w:lineRule="auto"/>
      <w:ind w:left="720"/>
      <w:contextualSpacing/>
    </w:pPr>
    <w:rPr>
      <w:rFonts w:ascii="Arial" w:hAnsi="Arial"/>
      <w:sz w:val="24"/>
      <w:szCs w:val="20"/>
      <w:lang w:val="en-GB"/>
    </w:rPr>
  </w:style>
  <w:style w:type="paragraph" w:styleId="FootnoteText">
    <w:name w:val="footnote text"/>
    <w:basedOn w:val="Normal"/>
    <w:link w:val="FootnoteTextChar"/>
    <w:uiPriority w:val="99"/>
    <w:semiHidden/>
    <w:unhideWhenUsed/>
    <w:rsid w:val="000961B9"/>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0961B9"/>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0961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184516">
      <w:bodyDiv w:val="1"/>
      <w:marLeft w:val="0"/>
      <w:marRight w:val="0"/>
      <w:marTop w:val="0"/>
      <w:marBottom w:val="0"/>
      <w:divBdr>
        <w:top w:val="none" w:sz="0" w:space="0" w:color="auto"/>
        <w:left w:val="none" w:sz="0" w:space="0" w:color="auto"/>
        <w:bottom w:val="none" w:sz="0" w:space="0" w:color="auto"/>
        <w:right w:val="none" w:sz="0" w:space="0" w:color="auto"/>
      </w:divBdr>
    </w:div>
    <w:div w:id="1575428083">
      <w:bodyDiv w:val="1"/>
      <w:marLeft w:val="0"/>
      <w:marRight w:val="0"/>
      <w:marTop w:val="0"/>
      <w:marBottom w:val="0"/>
      <w:divBdr>
        <w:top w:val="none" w:sz="0" w:space="0" w:color="auto"/>
        <w:left w:val="none" w:sz="0" w:space="0" w:color="auto"/>
        <w:bottom w:val="none" w:sz="0" w:space="0" w:color="auto"/>
        <w:right w:val="none" w:sz="0" w:space="0" w:color="auto"/>
      </w:divBdr>
    </w:div>
    <w:div w:id="18032271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336699\Downloads\fls-A4-portrait-word-template-nocover%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0E536-D586-46C5-87A5-967857150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fls-A4-portrait-word-template-nocover (1).dotx</Template>
  <TotalTime>3</TotalTime>
  <Pages>2</Pages>
  <Words>504</Words>
  <Characters>2879</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Pay Gap Report 2021</dc:title>
  <dc:subject/>
  <dc:creator>z336699</dc:creator>
  <cp:keywords/>
  <dc:description/>
  <cp:lastModifiedBy>Colin Sandie</cp:lastModifiedBy>
  <cp:revision>3</cp:revision>
  <cp:lastPrinted>2019-02-22T11:07:00Z</cp:lastPrinted>
  <dcterms:created xsi:type="dcterms:W3CDTF">2022-08-18T06:37:00Z</dcterms:created>
  <dcterms:modified xsi:type="dcterms:W3CDTF">2022-10-31T09:30:00Z</dcterms:modified>
</cp:coreProperties>
</file>