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BC" w:rsidRDefault="0059096B" w:rsidP="00780AE4">
      <w:pPr>
        <w:pStyle w:val="FLSHeading1Bold"/>
      </w:pPr>
      <w:r w:rsidRPr="0059096B">
        <w:t xml:space="preserve">Summary of Land Management Plan Proposals </w:t>
      </w:r>
    </w:p>
    <w:p w:rsidR="00032493" w:rsidRPr="00032493" w:rsidRDefault="00032493" w:rsidP="00032493">
      <w:pPr>
        <w:spacing w:after="0" w:line="360" w:lineRule="auto"/>
        <w:ind w:right="-187"/>
        <w:rPr>
          <w:sz w:val="24"/>
        </w:rPr>
      </w:pPr>
      <w:r w:rsidRPr="00032493">
        <w:rPr>
          <w:sz w:val="24"/>
        </w:rPr>
        <w:t xml:space="preserve">The </w:t>
      </w:r>
      <w:proofErr w:type="spellStart"/>
      <w:r w:rsidRPr="00032493">
        <w:rPr>
          <w:sz w:val="24"/>
        </w:rPr>
        <w:t>Corriedoo</w:t>
      </w:r>
      <w:proofErr w:type="spellEnd"/>
      <w:r w:rsidRPr="00032493">
        <w:rPr>
          <w:sz w:val="24"/>
        </w:rPr>
        <w:t xml:space="preserve"> Land Management Unit comprises the </w:t>
      </w:r>
      <w:proofErr w:type="spellStart"/>
      <w:r w:rsidRPr="00032493">
        <w:rPr>
          <w:sz w:val="24"/>
        </w:rPr>
        <w:t>Corriedoo</w:t>
      </w:r>
      <w:proofErr w:type="spellEnd"/>
      <w:r w:rsidRPr="00032493">
        <w:rPr>
          <w:sz w:val="24"/>
        </w:rPr>
        <w:t xml:space="preserve"> forest block covering 417.87 ha and is located approximately 5 miles east of St John’s Town of </w:t>
      </w:r>
      <w:proofErr w:type="spellStart"/>
      <w:r w:rsidRPr="00032493">
        <w:rPr>
          <w:sz w:val="24"/>
        </w:rPr>
        <w:t>Dalry</w:t>
      </w:r>
      <w:proofErr w:type="spellEnd"/>
      <w:r w:rsidRPr="00032493">
        <w:rPr>
          <w:sz w:val="24"/>
        </w:rPr>
        <w:t>, Dumfries and Galloway. It is part of Scotland’s national forests and land, owned by Scottish Ministers on behalf of the people of Scotland, and managed by Forestry and Land Scotland (FLS).</w:t>
      </w:r>
    </w:p>
    <w:p w:rsidR="00032493" w:rsidRDefault="00032493" w:rsidP="003C700E">
      <w:pPr>
        <w:spacing w:after="0" w:line="360" w:lineRule="auto"/>
        <w:ind w:right="-187"/>
        <w:rPr>
          <w:sz w:val="24"/>
        </w:rPr>
      </w:pPr>
    </w:p>
    <w:p w:rsidR="00EA24E6" w:rsidRPr="00EA24E6" w:rsidRDefault="00EA24E6" w:rsidP="00EA24E6">
      <w:pPr>
        <w:spacing w:after="0" w:line="360" w:lineRule="auto"/>
        <w:ind w:right="-187"/>
        <w:rPr>
          <w:sz w:val="24"/>
        </w:rPr>
      </w:pPr>
      <w:r w:rsidRPr="00EA24E6">
        <w:rPr>
          <w:sz w:val="24"/>
        </w:rPr>
        <w:t xml:space="preserve">The </w:t>
      </w:r>
      <w:proofErr w:type="spellStart"/>
      <w:r w:rsidRPr="00EA24E6">
        <w:rPr>
          <w:sz w:val="24"/>
        </w:rPr>
        <w:t>Corriedoo</w:t>
      </w:r>
      <w:proofErr w:type="spellEnd"/>
      <w:r w:rsidRPr="00EA24E6">
        <w:rPr>
          <w:sz w:val="24"/>
        </w:rPr>
        <w:t xml:space="preserve"> Land Management Plan (</w:t>
      </w:r>
      <w:proofErr w:type="spellStart"/>
      <w:r w:rsidRPr="00EA24E6">
        <w:rPr>
          <w:sz w:val="24"/>
        </w:rPr>
        <w:t>LMP</w:t>
      </w:r>
      <w:proofErr w:type="spellEnd"/>
      <w:r w:rsidRPr="00EA24E6">
        <w:rPr>
          <w:sz w:val="24"/>
        </w:rPr>
        <w:t xml:space="preserve">) will define the management prescription for the ten year period between (2021-31), and presents the vision for the long-term management of the area.  The main management objectives in this plan focus on sustainable timber production, increasing forest species diversity and resilience whilst improving riparian connectivity. </w:t>
      </w:r>
    </w:p>
    <w:p w:rsidR="00981078" w:rsidRDefault="00981078" w:rsidP="0059096B">
      <w:pPr>
        <w:spacing w:after="0" w:line="240" w:lineRule="auto"/>
        <w:ind w:right="-187"/>
        <w:jc w:val="both"/>
        <w:rPr>
          <w:rFonts w:eastAsia="Verdana" w:cs="Calibri"/>
          <w:spacing w:val="-1"/>
          <w:sz w:val="20"/>
          <w:szCs w:val="20"/>
        </w:rPr>
      </w:pPr>
    </w:p>
    <w:tbl>
      <w:tblPr>
        <w:tblStyle w:val="TableGrid"/>
        <w:tblW w:w="0" w:type="auto"/>
        <w:tblLook w:val="04A0" w:firstRow="1" w:lastRow="0" w:firstColumn="1" w:lastColumn="0" w:noHBand="0" w:noVBand="1"/>
        <w:tblCaption w:val="Composition of Plan Area"/>
        <w:tblDescription w:val="The total plan area is 65.18 ha, comprised of 39.09 ha (59.97 %) of woodland area and 26.09 ha (40.03 %) of external open ground area."/>
      </w:tblPr>
      <w:tblGrid>
        <w:gridCol w:w="3107"/>
        <w:gridCol w:w="3108"/>
        <w:gridCol w:w="3108"/>
      </w:tblGrid>
      <w:tr w:rsidR="0059096B" w:rsidRPr="0059096B" w:rsidTr="00CD5B19">
        <w:trPr>
          <w:tblHeader/>
        </w:trPr>
        <w:tc>
          <w:tcPr>
            <w:tcW w:w="3107" w:type="dxa"/>
            <w:tcBorders>
              <w:bottom w:val="single" w:sz="4" w:space="0" w:color="auto"/>
            </w:tcBorders>
            <w:shd w:val="clear" w:color="auto" w:fill="D9D9D9" w:themeFill="background1" w:themeFillShade="D9"/>
          </w:tcPr>
          <w:p w:rsidR="0059096B" w:rsidRPr="00780AE4" w:rsidRDefault="0059096B" w:rsidP="00780AE4">
            <w:pPr>
              <w:pStyle w:val="FLSBody"/>
              <w:rPr>
                <w:rFonts w:ascii="Calibri" w:eastAsia="Times New Roman" w:hAnsi="Calibri"/>
                <w:b/>
              </w:rPr>
            </w:pPr>
            <w:r w:rsidRPr="00780AE4">
              <w:rPr>
                <w:rFonts w:ascii="Calibri" w:eastAsia="Times New Roman" w:hAnsi="Calibri"/>
                <w:b/>
              </w:rPr>
              <w:t>Composition of Plan Area</w:t>
            </w:r>
          </w:p>
        </w:tc>
        <w:tc>
          <w:tcPr>
            <w:tcW w:w="3108" w:type="dxa"/>
            <w:tcBorders>
              <w:bottom w:val="single" w:sz="4" w:space="0" w:color="auto"/>
            </w:tcBorders>
            <w:shd w:val="clear" w:color="auto" w:fill="D9D9D9" w:themeFill="background1" w:themeFillShade="D9"/>
          </w:tcPr>
          <w:p w:rsidR="0059096B" w:rsidRPr="00780AE4" w:rsidRDefault="0059096B" w:rsidP="00780AE4">
            <w:pPr>
              <w:pStyle w:val="FLSBody"/>
              <w:rPr>
                <w:rFonts w:ascii="Calibri" w:eastAsia="Times New Roman" w:hAnsi="Calibri"/>
                <w:b/>
              </w:rPr>
            </w:pPr>
            <w:r w:rsidRPr="00780AE4">
              <w:rPr>
                <w:rFonts w:ascii="Calibri" w:eastAsia="Times New Roman" w:hAnsi="Calibri"/>
                <w:b/>
              </w:rPr>
              <w:t>Area (ha)</w:t>
            </w:r>
          </w:p>
        </w:tc>
        <w:tc>
          <w:tcPr>
            <w:tcW w:w="3108" w:type="dxa"/>
            <w:tcBorders>
              <w:bottom w:val="single" w:sz="4" w:space="0" w:color="auto"/>
            </w:tcBorders>
            <w:shd w:val="clear" w:color="auto" w:fill="D9D9D9" w:themeFill="background1" w:themeFillShade="D9"/>
          </w:tcPr>
          <w:p w:rsidR="0059096B" w:rsidRPr="00780AE4" w:rsidRDefault="0059096B" w:rsidP="00780AE4">
            <w:pPr>
              <w:pStyle w:val="FLSBody"/>
              <w:rPr>
                <w:rFonts w:ascii="Calibri" w:eastAsia="Times New Roman" w:hAnsi="Calibri"/>
                <w:b/>
              </w:rPr>
            </w:pPr>
            <w:r w:rsidRPr="00780AE4">
              <w:rPr>
                <w:rFonts w:ascii="Calibri" w:eastAsia="Times New Roman" w:hAnsi="Calibri"/>
                <w:b/>
              </w:rPr>
              <w:t>Percentage of plan area (%)</w:t>
            </w:r>
          </w:p>
        </w:tc>
      </w:tr>
      <w:tr w:rsidR="0059096B" w:rsidTr="005E4B63">
        <w:tc>
          <w:tcPr>
            <w:tcW w:w="3107" w:type="dxa"/>
            <w:tcBorders>
              <w:top w:val="single" w:sz="4" w:space="0" w:color="auto"/>
              <w:left w:val="single" w:sz="4" w:space="0" w:color="auto"/>
              <w:bottom w:val="nil"/>
              <w:right w:val="single" w:sz="4" w:space="0" w:color="auto"/>
            </w:tcBorders>
          </w:tcPr>
          <w:p w:rsidR="0059096B" w:rsidRPr="00780AE4" w:rsidRDefault="0059096B" w:rsidP="00780AE4">
            <w:pPr>
              <w:pStyle w:val="FLSBody"/>
              <w:rPr>
                <w:rFonts w:ascii="Calibri" w:eastAsia="Times New Roman" w:hAnsi="Calibri"/>
              </w:rPr>
            </w:pPr>
            <w:r w:rsidRPr="00780AE4">
              <w:rPr>
                <w:rFonts w:ascii="Calibri" w:eastAsia="Times New Roman" w:hAnsi="Calibri"/>
              </w:rPr>
              <w:t>Woodland Area</w:t>
            </w:r>
          </w:p>
        </w:tc>
        <w:tc>
          <w:tcPr>
            <w:tcW w:w="3108" w:type="dxa"/>
            <w:tcBorders>
              <w:top w:val="single" w:sz="4" w:space="0" w:color="auto"/>
              <w:left w:val="single" w:sz="4" w:space="0" w:color="auto"/>
              <w:bottom w:val="nil"/>
              <w:right w:val="single" w:sz="4" w:space="0" w:color="auto"/>
            </w:tcBorders>
          </w:tcPr>
          <w:p w:rsidR="0059096B" w:rsidRPr="00780AE4" w:rsidRDefault="00F43384" w:rsidP="00780AE4">
            <w:pPr>
              <w:pStyle w:val="FLSBody"/>
              <w:rPr>
                <w:rFonts w:ascii="Calibri" w:eastAsia="Times New Roman" w:hAnsi="Calibri"/>
              </w:rPr>
            </w:pPr>
            <w:r>
              <w:rPr>
                <w:rFonts w:ascii="Calibri" w:eastAsia="Times New Roman" w:hAnsi="Calibri"/>
              </w:rPr>
              <w:t>342.9</w:t>
            </w:r>
          </w:p>
        </w:tc>
        <w:tc>
          <w:tcPr>
            <w:tcW w:w="3108" w:type="dxa"/>
            <w:tcBorders>
              <w:top w:val="single" w:sz="4" w:space="0" w:color="auto"/>
              <w:left w:val="single" w:sz="4" w:space="0" w:color="auto"/>
              <w:bottom w:val="nil"/>
              <w:right w:val="single" w:sz="4" w:space="0" w:color="auto"/>
            </w:tcBorders>
          </w:tcPr>
          <w:p w:rsidR="0059096B" w:rsidRPr="00780AE4" w:rsidRDefault="00F43384" w:rsidP="00780AE4">
            <w:pPr>
              <w:pStyle w:val="FLSBody"/>
              <w:rPr>
                <w:rFonts w:ascii="Calibri" w:eastAsia="Times New Roman" w:hAnsi="Calibri"/>
              </w:rPr>
            </w:pPr>
            <w:r>
              <w:rPr>
                <w:rFonts w:ascii="Calibri" w:eastAsia="Times New Roman" w:hAnsi="Calibri"/>
              </w:rPr>
              <w:t>82.1</w:t>
            </w:r>
          </w:p>
        </w:tc>
      </w:tr>
      <w:tr w:rsidR="0059096B" w:rsidTr="005E4B63">
        <w:tc>
          <w:tcPr>
            <w:tcW w:w="3107" w:type="dxa"/>
            <w:tcBorders>
              <w:top w:val="nil"/>
              <w:left w:val="single" w:sz="4" w:space="0" w:color="auto"/>
              <w:bottom w:val="nil"/>
              <w:right w:val="single" w:sz="4" w:space="0" w:color="auto"/>
            </w:tcBorders>
          </w:tcPr>
          <w:p w:rsidR="0059096B" w:rsidRPr="00780AE4" w:rsidRDefault="0059096B" w:rsidP="00780AE4">
            <w:pPr>
              <w:pStyle w:val="FLSBody"/>
              <w:rPr>
                <w:rFonts w:ascii="Calibri" w:eastAsia="Times New Roman" w:hAnsi="Calibri"/>
              </w:rPr>
            </w:pPr>
            <w:r w:rsidRPr="00780AE4">
              <w:rPr>
                <w:rFonts w:ascii="Calibri" w:eastAsia="Times New Roman" w:hAnsi="Calibri"/>
              </w:rPr>
              <w:t>External Open Ground Area</w:t>
            </w:r>
          </w:p>
        </w:tc>
        <w:tc>
          <w:tcPr>
            <w:tcW w:w="3108" w:type="dxa"/>
            <w:tcBorders>
              <w:top w:val="nil"/>
              <w:left w:val="single" w:sz="4" w:space="0" w:color="auto"/>
              <w:bottom w:val="nil"/>
              <w:right w:val="single" w:sz="4" w:space="0" w:color="auto"/>
            </w:tcBorders>
          </w:tcPr>
          <w:p w:rsidR="0059096B" w:rsidRPr="00780AE4" w:rsidRDefault="00F43384" w:rsidP="00780AE4">
            <w:pPr>
              <w:pStyle w:val="FLSBody"/>
              <w:rPr>
                <w:rFonts w:ascii="Calibri" w:eastAsia="Times New Roman" w:hAnsi="Calibri"/>
              </w:rPr>
            </w:pPr>
            <w:r>
              <w:rPr>
                <w:rFonts w:ascii="Calibri" w:eastAsia="Times New Roman" w:hAnsi="Calibri"/>
              </w:rPr>
              <w:t>75</w:t>
            </w:r>
          </w:p>
        </w:tc>
        <w:tc>
          <w:tcPr>
            <w:tcW w:w="3108" w:type="dxa"/>
            <w:tcBorders>
              <w:top w:val="nil"/>
              <w:left w:val="single" w:sz="4" w:space="0" w:color="auto"/>
              <w:bottom w:val="nil"/>
              <w:right w:val="single" w:sz="4" w:space="0" w:color="auto"/>
            </w:tcBorders>
          </w:tcPr>
          <w:p w:rsidR="0059096B" w:rsidRPr="00780AE4" w:rsidRDefault="00F43384" w:rsidP="00780AE4">
            <w:pPr>
              <w:pStyle w:val="FLSBody"/>
              <w:rPr>
                <w:rFonts w:ascii="Calibri" w:eastAsia="Times New Roman" w:hAnsi="Calibri"/>
              </w:rPr>
            </w:pPr>
            <w:r>
              <w:rPr>
                <w:rFonts w:ascii="Calibri" w:eastAsia="Times New Roman" w:hAnsi="Calibri"/>
              </w:rPr>
              <w:t>17.9</w:t>
            </w:r>
          </w:p>
        </w:tc>
      </w:tr>
      <w:tr w:rsidR="0059096B" w:rsidTr="005E4B63">
        <w:tc>
          <w:tcPr>
            <w:tcW w:w="3107" w:type="dxa"/>
            <w:tcBorders>
              <w:top w:val="nil"/>
              <w:left w:val="single" w:sz="4" w:space="0" w:color="auto"/>
              <w:bottom w:val="single" w:sz="4" w:space="0" w:color="auto"/>
              <w:right w:val="single" w:sz="4" w:space="0" w:color="auto"/>
            </w:tcBorders>
          </w:tcPr>
          <w:p w:rsidR="0059096B" w:rsidRPr="00780AE4" w:rsidRDefault="0059096B" w:rsidP="00780AE4">
            <w:pPr>
              <w:pStyle w:val="FLSBody"/>
              <w:rPr>
                <w:rFonts w:ascii="Calibri" w:eastAsia="Times New Roman" w:hAnsi="Calibri"/>
              </w:rPr>
            </w:pPr>
            <w:r w:rsidRPr="00780AE4">
              <w:rPr>
                <w:rFonts w:ascii="Calibri" w:eastAsia="Times New Roman" w:hAnsi="Calibri"/>
              </w:rPr>
              <w:t>Total Plan Area</w:t>
            </w:r>
          </w:p>
        </w:tc>
        <w:tc>
          <w:tcPr>
            <w:tcW w:w="3108" w:type="dxa"/>
            <w:tcBorders>
              <w:top w:val="nil"/>
              <w:left w:val="single" w:sz="4" w:space="0" w:color="auto"/>
              <w:bottom w:val="single" w:sz="4" w:space="0" w:color="auto"/>
              <w:right w:val="single" w:sz="4" w:space="0" w:color="auto"/>
            </w:tcBorders>
          </w:tcPr>
          <w:p w:rsidR="0059096B" w:rsidRPr="00780AE4" w:rsidRDefault="00F43384" w:rsidP="00780AE4">
            <w:pPr>
              <w:pStyle w:val="FLSBody"/>
              <w:rPr>
                <w:rFonts w:ascii="Calibri" w:eastAsia="Times New Roman" w:hAnsi="Calibri"/>
              </w:rPr>
            </w:pPr>
            <w:r>
              <w:rPr>
                <w:rFonts w:ascii="Calibri" w:eastAsia="Times New Roman" w:hAnsi="Calibri"/>
              </w:rPr>
              <w:t>417.9</w:t>
            </w:r>
          </w:p>
        </w:tc>
        <w:tc>
          <w:tcPr>
            <w:tcW w:w="3108" w:type="dxa"/>
            <w:tcBorders>
              <w:top w:val="nil"/>
              <w:left w:val="single" w:sz="4" w:space="0" w:color="auto"/>
              <w:bottom w:val="single" w:sz="4" w:space="0" w:color="auto"/>
              <w:right w:val="single" w:sz="4" w:space="0" w:color="auto"/>
            </w:tcBorders>
          </w:tcPr>
          <w:p w:rsidR="0059096B" w:rsidRPr="00780AE4" w:rsidRDefault="0059096B" w:rsidP="00780AE4">
            <w:pPr>
              <w:pStyle w:val="FLSBody"/>
              <w:rPr>
                <w:rFonts w:ascii="Calibri" w:eastAsia="Times New Roman" w:hAnsi="Calibri"/>
              </w:rPr>
            </w:pPr>
            <w:r w:rsidRPr="00780AE4">
              <w:rPr>
                <w:rFonts w:ascii="Calibri" w:eastAsia="Times New Roman" w:hAnsi="Calibri"/>
              </w:rPr>
              <w:t>100.0</w:t>
            </w:r>
            <w:r w:rsidR="00981078">
              <w:rPr>
                <w:rFonts w:ascii="Calibri" w:eastAsia="Times New Roman" w:hAnsi="Calibri"/>
              </w:rPr>
              <w:t>0</w:t>
            </w:r>
          </w:p>
        </w:tc>
      </w:tr>
    </w:tbl>
    <w:p w:rsidR="0059096B" w:rsidRDefault="0059096B" w:rsidP="0059096B">
      <w:pPr>
        <w:spacing w:after="0" w:line="240" w:lineRule="auto"/>
        <w:ind w:right="-187"/>
        <w:jc w:val="both"/>
        <w:rPr>
          <w:rFonts w:eastAsia="Verdana" w:cs="Calibri"/>
          <w:spacing w:val="-1"/>
          <w:sz w:val="20"/>
          <w:szCs w:val="20"/>
        </w:rPr>
      </w:pPr>
    </w:p>
    <w:tbl>
      <w:tblPr>
        <w:tblStyle w:val="TableGrid"/>
        <w:tblW w:w="0" w:type="auto"/>
        <w:tblLook w:val="04A0" w:firstRow="1" w:lastRow="0" w:firstColumn="1" w:lastColumn="0" w:noHBand="0" w:noVBand="1"/>
        <w:tblCaption w:val="Species Breakdown"/>
        <w:tblDescription w:val="This table shows the species that make up the woodland area in hectares and as a percentage of the plan area. The breakdown is shown at year 2021 (the current year) and at 2031 (the end of plan period). Details of open ground are also shown. Details are the same for each year. Primary species is beech at 12.72 ha, 19.52 %. The secondary species are sycamore at 11.67 ha, 17.90 % and aspen at 6.81 ha, 10.45 %. Native broadleaves at 7.89 ha, 12.10 % and open space at 26.09 ha, 40.03 %."/>
      </w:tblPr>
      <w:tblGrid>
        <w:gridCol w:w="2122"/>
        <w:gridCol w:w="1422"/>
        <w:gridCol w:w="1838"/>
        <w:gridCol w:w="1984"/>
        <w:gridCol w:w="1843"/>
      </w:tblGrid>
      <w:tr w:rsidR="006F57D7" w:rsidRPr="0059096B" w:rsidTr="006F57D7">
        <w:trPr>
          <w:tblHeader/>
        </w:trPr>
        <w:tc>
          <w:tcPr>
            <w:tcW w:w="2122" w:type="dxa"/>
            <w:tcBorders>
              <w:bottom w:val="single" w:sz="4" w:space="0" w:color="auto"/>
              <w:right w:val="single" w:sz="4" w:space="0" w:color="auto"/>
            </w:tcBorders>
            <w:shd w:val="clear" w:color="auto" w:fill="D9D9D9" w:themeFill="background1" w:themeFillShade="D9"/>
          </w:tcPr>
          <w:p w:rsidR="006F57D7" w:rsidRPr="00780AE4" w:rsidRDefault="006F57D7" w:rsidP="00780AE4">
            <w:pPr>
              <w:pStyle w:val="FLSBody"/>
              <w:rPr>
                <w:rFonts w:ascii="Calibri" w:eastAsia="Times New Roman" w:hAnsi="Calibri"/>
                <w:b/>
              </w:rPr>
            </w:pPr>
            <w:r w:rsidRPr="00780AE4">
              <w:rPr>
                <w:rFonts w:ascii="Calibri" w:eastAsia="Times New Roman" w:hAnsi="Calibri"/>
                <w:b/>
              </w:rPr>
              <w:t>Species Breakdown</w:t>
            </w:r>
          </w:p>
        </w:tc>
        <w:tc>
          <w:tcPr>
            <w:tcW w:w="1422" w:type="dxa"/>
            <w:tcBorders>
              <w:left w:val="single" w:sz="4" w:space="0" w:color="auto"/>
              <w:bottom w:val="single" w:sz="4" w:space="0" w:color="auto"/>
              <w:right w:val="nil"/>
            </w:tcBorders>
            <w:shd w:val="clear" w:color="auto" w:fill="D9D9D9" w:themeFill="background1" w:themeFillShade="D9"/>
          </w:tcPr>
          <w:p w:rsidR="006F57D7" w:rsidRDefault="006F57D7" w:rsidP="00335436">
            <w:pPr>
              <w:pStyle w:val="FLSBody"/>
              <w:rPr>
                <w:rFonts w:ascii="Calibri" w:eastAsia="Times New Roman" w:hAnsi="Calibri"/>
                <w:b/>
              </w:rPr>
            </w:pPr>
            <w:r w:rsidRPr="00780AE4">
              <w:rPr>
                <w:rFonts w:ascii="Calibri" w:eastAsia="Times New Roman" w:hAnsi="Calibri"/>
                <w:b/>
              </w:rPr>
              <w:t xml:space="preserve">2021 </w:t>
            </w:r>
          </w:p>
          <w:p w:rsidR="006F57D7" w:rsidRPr="00780AE4" w:rsidRDefault="006F57D7" w:rsidP="00335436">
            <w:pPr>
              <w:pStyle w:val="FLSBody"/>
              <w:rPr>
                <w:rFonts w:ascii="Calibri" w:eastAsia="Times New Roman" w:hAnsi="Calibri"/>
                <w:b/>
              </w:rPr>
            </w:pPr>
            <w:r w:rsidRPr="00780AE4">
              <w:rPr>
                <w:rFonts w:ascii="Calibri" w:eastAsia="Times New Roman" w:hAnsi="Calibri"/>
                <w:b/>
              </w:rPr>
              <w:t>(current</w:t>
            </w:r>
            <w:r>
              <w:rPr>
                <w:rFonts w:ascii="Calibri" w:eastAsia="Times New Roman" w:hAnsi="Calibri"/>
                <w:b/>
              </w:rPr>
              <w:t>)</w:t>
            </w:r>
            <w:r w:rsidRPr="00780AE4">
              <w:rPr>
                <w:rFonts w:ascii="Calibri" w:eastAsia="Times New Roman" w:hAnsi="Calibri"/>
                <w:b/>
              </w:rPr>
              <w:t xml:space="preserve"> </w:t>
            </w:r>
          </w:p>
        </w:tc>
        <w:tc>
          <w:tcPr>
            <w:tcW w:w="1838" w:type="dxa"/>
            <w:tcBorders>
              <w:left w:val="nil"/>
              <w:bottom w:val="single" w:sz="4" w:space="0" w:color="auto"/>
            </w:tcBorders>
            <w:shd w:val="clear" w:color="auto" w:fill="D9D9D9" w:themeFill="background1" w:themeFillShade="D9"/>
          </w:tcPr>
          <w:p w:rsidR="006F57D7" w:rsidRDefault="006F57D7" w:rsidP="00780AE4">
            <w:pPr>
              <w:pStyle w:val="FLSBody"/>
              <w:rPr>
                <w:rFonts w:ascii="Calibri" w:eastAsia="Times New Roman" w:hAnsi="Calibri"/>
                <w:b/>
              </w:rPr>
            </w:pPr>
          </w:p>
          <w:p w:rsidR="006F57D7" w:rsidRPr="00780AE4" w:rsidRDefault="006F57D7" w:rsidP="00780AE4">
            <w:pPr>
              <w:pStyle w:val="FLSBody"/>
              <w:rPr>
                <w:rFonts w:ascii="Calibri" w:eastAsia="Times New Roman" w:hAnsi="Calibri"/>
                <w:b/>
              </w:rPr>
            </w:pPr>
            <w:r>
              <w:rPr>
                <w:rFonts w:ascii="Calibri" w:eastAsia="Times New Roman" w:hAnsi="Calibri"/>
                <w:b/>
              </w:rPr>
              <w:t xml:space="preserve">(ha / </w:t>
            </w:r>
            <w:r w:rsidRPr="00780AE4">
              <w:rPr>
                <w:rFonts w:ascii="Calibri" w:eastAsia="Times New Roman" w:hAnsi="Calibri"/>
                <w:b/>
              </w:rPr>
              <w:t>%)</w:t>
            </w:r>
          </w:p>
        </w:tc>
        <w:tc>
          <w:tcPr>
            <w:tcW w:w="1984" w:type="dxa"/>
            <w:tcBorders>
              <w:bottom w:val="single" w:sz="4" w:space="0" w:color="auto"/>
              <w:right w:val="nil"/>
            </w:tcBorders>
            <w:shd w:val="clear" w:color="auto" w:fill="D9D9D9" w:themeFill="background1" w:themeFillShade="D9"/>
          </w:tcPr>
          <w:p w:rsidR="006F57D7" w:rsidRDefault="006F57D7" w:rsidP="00780AE4">
            <w:pPr>
              <w:pStyle w:val="FLSBody"/>
              <w:rPr>
                <w:rFonts w:ascii="Calibri" w:eastAsia="Times New Roman" w:hAnsi="Calibri"/>
                <w:b/>
              </w:rPr>
            </w:pPr>
            <w:r w:rsidRPr="00780AE4">
              <w:rPr>
                <w:rFonts w:ascii="Calibri" w:eastAsia="Times New Roman" w:hAnsi="Calibri"/>
                <w:b/>
              </w:rPr>
              <w:t xml:space="preserve">2031 </w:t>
            </w:r>
          </w:p>
          <w:p w:rsidR="006F57D7" w:rsidRPr="00780AE4" w:rsidRDefault="006F57D7" w:rsidP="00780AE4">
            <w:pPr>
              <w:pStyle w:val="FLSBody"/>
              <w:rPr>
                <w:rFonts w:ascii="Calibri" w:eastAsia="Times New Roman" w:hAnsi="Calibri"/>
                <w:b/>
              </w:rPr>
            </w:pPr>
            <w:r w:rsidRPr="00780AE4">
              <w:rPr>
                <w:rFonts w:ascii="Calibri" w:eastAsia="Times New Roman" w:hAnsi="Calibri"/>
                <w:b/>
              </w:rPr>
              <w:t xml:space="preserve">(end plan period) </w:t>
            </w:r>
          </w:p>
        </w:tc>
        <w:tc>
          <w:tcPr>
            <w:tcW w:w="1843" w:type="dxa"/>
            <w:tcBorders>
              <w:bottom w:val="single" w:sz="4" w:space="0" w:color="auto"/>
              <w:right w:val="single" w:sz="4" w:space="0" w:color="auto"/>
            </w:tcBorders>
            <w:shd w:val="clear" w:color="auto" w:fill="D9D9D9" w:themeFill="background1" w:themeFillShade="D9"/>
            <w:vAlign w:val="center"/>
          </w:tcPr>
          <w:p w:rsidR="006F57D7" w:rsidRDefault="006F57D7" w:rsidP="006F57D7">
            <w:pPr>
              <w:pStyle w:val="FLSBody"/>
              <w:rPr>
                <w:b/>
              </w:rPr>
            </w:pPr>
            <w:r>
              <w:rPr>
                <w:b/>
              </w:rPr>
              <w:t>(ha / %)</w:t>
            </w:r>
          </w:p>
        </w:tc>
      </w:tr>
      <w:tr w:rsidR="006F57D7" w:rsidTr="006F57D7">
        <w:tc>
          <w:tcPr>
            <w:tcW w:w="2122" w:type="dxa"/>
            <w:tcBorders>
              <w:top w:val="single" w:sz="4" w:space="0" w:color="auto"/>
              <w:left w:val="single" w:sz="4" w:space="0" w:color="auto"/>
              <w:bottom w:val="nil"/>
              <w:right w:val="single" w:sz="4" w:space="0" w:color="auto"/>
            </w:tcBorders>
          </w:tcPr>
          <w:p w:rsidR="006F57D7" w:rsidRPr="00780AE4" w:rsidRDefault="006F57D7" w:rsidP="006F57D7">
            <w:pPr>
              <w:pStyle w:val="FLSBody"/>
              <w:rPr>
                <w:rFonts w:ascii="Calibri" w:eastAsia="Times New Roman" w:hAnsi="Calibri"/>
              </w:rPr>
            </w:pPr>
            <w:r w:rsidRPr="00780AE4">
              <w:rPr>
                <w:rFonts w:ascii="Calibri" w:eastAsia="Times New Roman" w:hAnsi="Calibri"/>
              </w:rPr>
              <w:t xml:space="preserve">Primary Species: </w:t>
            </w:r>
          </w:p>
          <w:p w:rsidR="006F57D7" w:rsidRPr="00780AE4" w:rsidRDefault="006F57D7" w:rsidP="006F57D7">
            <w:pPr>
              <w:pStyle w:val="FLSBody"/>
              <w:rPr>
                <w:rFonts w:ascii="Calibri" w:eastAsia="Times New Roman" w:hAnsi="Calibri"/>
              </w:rPr>
            </w:pPr>
            <w:r>
              <w:rPr>
                <w:rFonts w:ascii="Calibri" w:eastAsia="Times New Roman" w:hAnsi="Calibri"/>
              </w:rPr>
              <w:t>Sitka Spruce</w:t>
            </w:r>
          </w:p>
        </w:tc>
        <w:tc>
          <w:tcPr>
            <w:tcW w:w="1422" w:type="dxa"/>
            <w:tcBorders>
              <w:top w:val="single" w:sz="4" w:space="0" w:color="auto"/>
              <w:left w:val="single" w:sz="4" w:space="0" w:color="auto"/>
              <w:bottom w:val="nil"/>
              <w:right w:val="single" w:sz="4" w:space="0" w:color="auto"/>
            </w:tcBorders>
          </w:tcPr>
          <w:p w:rsidR="006F57D7" w:rsidRDefault="006F57D7" w:rsidP="006F57D7">
            <w:pPr>
              <w:pStyle w:val="FLSBody"/>
              <w:rPr>
                <w:rFonts w:ascii="Calibri" w:eastAsia="Times New Roman" w:hAnsi="Calibri"/>
              </w:rPr>
            </w:pPr>
          </w:p>
          <w:p w:rsidR="006F57D7" w:rsidRPr="00780AE4" w:rsidRDefault="006F57D7" w:rsidP="006F57D7">
            <w:pPr>
              <w:pStyle w:val="FLSBody"/>
              <w:rPr>
                <w:rFonts w:ascii="Calibri" w:eastAsia="Times New Roman" w:hAnsi="Calibri"/>
              </w:rPr>
            </w:pPr>
            <w:r>
              <w:rPr>
                <w:rFonts w:cstheme="minorHAnsi"/>
                <w:szCs w:val="24"/>
              </w:rPr>
              <w:t>291.9</w:t>
            </w:r>
            <w:r w:rsidRPr="00664579">
              <w:rPr>
                <w:rFonts w:cstheme="minorHAnsi"/>
                <w:szCs w:val="24"/>
              </w:rPr>
              <w:t xml:space="preserve"> </w:t>
            </w:r>
            <w:r w:rsidRPr="00780AE4">
              <w:rPr>
                <w:rFonts w:ascii="Calibri" w:eastAsia="Times New Roman" w:hAnsi="Calibri"/>
              </w:rPr>
              <w:t>ha</w:t>
            </w:r>
          </w:p>
        </w:tc>
        <w:tc>
          <w:tcPr>
            <w:tcW w:w="1838" w:type="dxa"/>
            <w:tcBorders>
              <w:top w:val="single" w:sz="4" w:space="0" w:color="auto"/>
              <w:left w:val="single" w:sz="4" w:space="0" w:color="auto"/>
              <w:bottom w:val="nil"/>
              <w:right w:val="single" w:sz="4" w:space="0" w:color="auto"/>
            </w:tcBorders>
          </w:tcPr>
          <w:p w:rsidR="006F57D7" w:rsidRDefault="006F57D7" w:rsidP="006F57D7">
            <w:pPr>
              <w:pStyle w:val="FLSBody"/>
              <w:rPr>
                <w:rFonts w:ascii="Calibri" w:eastAsia="Times New Roman" w:hAnsi="Calibri"/>
              </w:rPr>
            </w:pPr>
          </w:p>
          <w:p w:rsidR="006F57D7" w:rsidRPr="00780AE4" w:rsidRDefault="006F57D7" w:rsidP="006F57D7">
            <w:pPr>
              <w:pStyle w:val="FLSBody"/>
              <w:rPr>
                <w:rFonts w:ascii="Calibri" w:eastAsia="Times New Roman" w:hAnsi="Calibri"/>
              </w:rPr>
            </w:pPr>
            <w:r>
              <w:rPr>
                <w:rFonts w:cstheme="minorHAnsi"/>
                <w:szCs w:val="24"/>
              </w:rPr>
              <w:t>69.8</w:t>
            </w:r>
            <w:r w:rsidRPr="00664579">
              <w:rPr>
                <w:rFonts w:cstheme="minorHAnsi"/>
                <w:szCs w:val="24"/>
              </w:rPr>
              <w:t xml:space="preserve"> </w:t>
            </w:r>
            <w:r w:rsidRPr="00780AE4">
              <w:rPr>
                <w:rFonts w:ascii="Calibri" w:eastAsia="Times New Roman" w:hAnsi="Calibri"/>
              </w:rPr>
              <w:t>%</w:t>
            </w:r>
          </w:p>
        </w:tc>
        <w:tc>
          <w:tcPr>
            <w:tcW w:w="1984" w:type="dxa"/>
            <w:tcBorders>
              <w:top w:val="single" w:sz="4" w:space="0" w:color="auto"/>
              <w:left w:val="single" w:sz="4" w:space="0" w:color="auto"/>
              <w:bottom w:val="nil"/>
              <w:right w:val="single" w:sz="4" w:space="0" w:color="auto"/>
            </w:tcBorders>
          </w:tcPr>
          <w:p w:rsidR="006F57D7" w:rsidRPr="00B64355" w:rsidRDefault="006F57D7" w:rsidP="006F57D7">
            <w:pPr>
              <w:pStyle w:val="FLSBody"/>
              <w:rPr>
                <w:rFonts w:ascii="Calibri" w:eastAsia="Times New Roman" w:hAnsi="Calibri"/>
              </w:rPr>
            </w:pPr>
          </w:p>
          <w:p w:rsidR="006F57D7" w:rsidRPr="00B64355" w:rsidRDefault="00B64355" w:rsidP="006F57D7">
            <w:pPr>
              <w:pStyle w:val="FLSBody"/>
              <w:rPr>
                <w:rFonts w:ascii="Calibri" w:eastAsia="Times New Roman" w:hAnsi="Calibri"/>
              </w:rPr>
            </w:pPr>
            <w:r w:rsidRPr="00B64355">
              <w:rPr>
                <w:rFonts w:cstheme="minorHAnsi"/>
                <w:szCs w:val="24"/>
              </w:rPr>
              <w:t>273</w:t>
            </w:r>
            <w:r w:rsidR="006F57D7" w:rsidRPr="00B64355">
              <w:rPr>
                <w:rFonts w:cstheme="minorHAnsi"/>
                <w:szCs w:val="24"/>
              </w:rPr>
              <w:t xml:space="preserve"> </w:t>
            </w:r>
            <w:r w:rsidR="006F57D7" w:rsidRPr="00B64355">
              <w:rPr>
                <w:rFonts w:ascii="Calibri" w:eastAsia="Times New Roman" w:hAnsi="Calibri"/>
              </w:rPr>
              <w:t>ha</w:t>
            </w:r>
          </w:p>
        </w:tc>
        <w:tc>
          <w:tcPr>
            <w:tcW w:w="1843" w:type="dxa"/>
            <w:tcBorders>
              <w:top w:val="single" w:sz="4" w:space="0" w:color="auto"/>
              <w:left w:val="single" w:sz="4" w:space="0" w:color="auto"/>
              <w:bottom w:val="nil"/>
              <w:right w:val="single" w:sz="4" w:space="0" w:color="auto"/>
            </w:tcBorders>
          </w:tcPr>
          <w:p w:rsidR="006F57D7" w:rsidRPr="00B64355" w:rsidRDefault="006F57D7" w:rsidP="006F57D7">
            <w:pPr>
              <w:pStyle w:val="FLSBody"/>
              <w:rPr>
                <w:rFonts w:ascii="Calibri" w:eastAsia="Times New Roman" w:hAnsi="Calibri"/>
              </w:rPr>
            </w:pPr>
          </w:p>
          <w:p w:rsidR="006F57D7" w:rsidRPr="00B64355" w:rsidRDefault="00B64355" w:rsidP="006F57D7">
            <w:pPr>
              <w:pStyle w:val="FLSBody"/>
              <w:rPr>
                <w:rFonts w:ascii="Calibri" w:eastAsia="Times New Roman" w:hAnsi="Calibri"/>
              </w:rPr>
            </w:pPr>
            <w:r w:rsidRPr="00B64355">
              <w:rPr>
                <w:rFonts w:cstheme="minorHAnsi"/>
                <w:szCs w:val="24"/>
              </w:rPr>
              <w:t>65.4</w:t>
            </w:r>
            <w:r w:rsidR="006F57D7" w:rsidRPr="00B64355">
              <w:rPr>
                <w:rFonts w:cstheme="minorHAnsi"/>
                <w:szCs w:val="24"/>
              </w:rPr>
              <w:t xml:space="preserve"> </w:t>
            </w:r>
            <w:r w:rsidR="006F57D7" w:rsidRPr="00B64355">
              <w:rPr>
                <w:rFonts w:ascii="Calibri" w:eastAsia="Times New Roman" w:hAnsi="Calibri"/>
              </w:rPr>
              <w:t>%</w:t>
            </w:r>
          </w:p>
        </w:tc>
      </w:tr>
      <w:tr w:rsidR="006F57D7" w:rsidTr="006F57D7">
        <w:tc>
          <w:tcPr>
            <w:tcW w:w="2122" w:type="dxa"/>
            <w:tcBorders>
              <w:top w:val="nil"/>
              <w:left w:val="single" w:sz="4" w:space="0" w:color="auto"/>
              <w:bottom w:val="nil"/>
              <w:right w:val="single" w:sz="4" w:space="0" w:color="auto"/>
            </w:tcBorders>
          </w:tcPr>
          <w:p w:rsidR="006F57D7" w:rsidRPr="00780AE4" w:rsidRDefault="006F57D7" w:rsidP="006F57D7">
            <w:pPr>
              <w:pStyle w:val="FLSBody"/>
              <w:rPr>
                <w:rFonts w:ascii="Calibri" w:eastAsia="Times New Roman" w:hAnsi="Calibri"/>
              </w:rPr>
            </w:pPr>
            <w:r w:rsidRPr="00780AE4">
              <w:rPr>
                <w:rFonts w:ascii="Calibri" w:eastAsia="Times New Roman" w:hAnsi="Calibri"/>
              </w:rPr>
              <w:t>Secondary Species:</w:t>
            </w:r>
          </w:p>
          <w:p w:rsidR="006F57D7" w:rsidRPr="00780AE4" w:rsidRDefault="006F57D7" w:rsidP="006F57D7">
            <w:pPr>
              <w:pStyle w:val="FLSBody"/>
              <w:rPr>
                <w:rFonts w:ascii="Calibri" w:eastAsia="Times New Roman" w:hAnsi="Calibri"/>
              </w:rPr>
            </w:pPr>
            <w:r>
              <w:rPr>
                <w:rFonts w:ascii="Calibri" w:eastAsia="Times New Roman" w:hAnsi="Calibri"/>
              </w:rPr>
              <w:t>Native Broadleaves</w:t>
            </w:r>
          </w:p>
        </w:tc>
        <w:tc>
          <w:tcPr>
            <w:tcW w:w="1422" w:type="dxa"/>
            <w:tcBorders>
              <w:top w:val="nil"/>
              <w:left w:val="single" w:sz="4" w:space="0" w:color="auto"/>
              <w:bottom w:val="nil"/>
              <w:right w:val="single" w:sz="4" w:space="0" w:color="auto"/>
            </w:tcBorders>
          </w:tcPr>
          <w:p w:rsidR="006F57D7" w:rsidRDefault="006F57D7" w:rsidP="006F57D7">
            <w:pPr>
              <w:pStyle w:val="FLSBody"/>
              <w:rPr>
                <w:rFonts w:ascii="Calibri" w:eastAsia="Times New Roman" w:hAnsi="Calibri"/>
              </w:rPr>
            </w:pPr>
          </w:p>
          <w:p w:rsidR="006F57D7" w:rsidRPr="00780AE4" w:rsidRDefault="006F57D7" w:rsidP="006F57D7">
            <w:pPr>
              <w:pStyle w:val="FLSBody"/>
              <w:rPr>
                <w:rFonts w:ascii="Calibri" w:eastAsia="Times New Roman" w:hAnsi="Calibri"/>
              </w:rPr>
            </w:pPr>
            <w:r>
              <w:rPr>
                <w:rFonts w:ascii="Calibri" w:eastAsia="Times New Roman" w:hAnsi="Calibri"/>
              </w:rPr>
              <w:t>14.9</w:t>
            </w:r>
            <w:r w:rsidRPr="00780AE4">
              <w:rPr>
                <w:rFonts w:ascii="Calibri" w:eastAsia="Times New Roman" w:hAnsi="Calibri"/>
              </w:rPr>
              <w:t xml:space="preserve"> ha</w:t>
            </w:r>
          </w:p>
        </w:tc>
        <w:tc>
          <w:tcPr>
            <w:tcW w:w="1838" w:type="dxa"/>
            <w:tcBorders>
              <w:top w:val="nil"/>
              <w:left w:val="single" w:sz="4" w:space="0" w:color="auto"/>
              <w:bottom w:val="nil"/>
              <w:right w:val="single" w:sz="4" w:space="0" w:color="auto"/>
            </w:tcBorders>
          </w:tcPr>
          <w:p w:rsidR="006F57D7" w:rsidRDefault="006F57D7" w:rsidP="006F57D7">
            <w:pPr>
              <w:pStyle w:val="FLSBody"/>
              <w:rPr>
                <w:rFonts w:ascii="Calibri" w:eastAsia="Times New Roman" w:hAnsi="Calibri"/>
              </w:rPr>
            </w:pPr>
          </w:p>
          <w:p w:rsidR="006F57D7" w:rsidRPr="00780AE4" w:rsidRDefault="006F57D7" w:rsidP="006F57D7">
            <w:pPr>
              <w:pStyle w:val="FLSBody"/>
              <w:rPr>
                <w:rFonts w:ascii="Calibri" w:eastAsia="Times New Roman" w:hAnsi="Calibri"/>
              </w:rPr>
            </w:pPr>
            <w:r>
              <w:rPr>
                <w:rFonts w:ascii="Calibri" w:eastAsia="Times New Roman" w:hAnsi="Calibri"/>
              </w:rPr>
              <w:t xml:space="preserve">3.6 </w:t>
            </w:r>
            <w:r w:rsidRPr="00780AE4">
              <w:rPr>
                <w:rFonts w:ascii="Calibri" w:eastAsia="Times New Roman" w:hAnsi="Calibri"/>
              </w:rPr>
              <w:t>%</w:t>
            </w:r>
          </w:p>
        </w:tc>
        <w:tc>
          <w:tcPr>
            <w:tcW w:w="1984" w:type="dxa"/>
            <w:tcBorders>
              <w:top w:val="nil"/>
              <w:left w:val="single" w:sz="4" w:space="0" w:color="auto"/>
              <w:bottom w:val="nil"/>
              <w:right w:val="single" w:sz="4" w:space="0" w:color="auto"/>
            </w:tcBorders>
          </w:tcPr>
          <w:p w:rsidR="006F57D7" w:rsidRPr="00B64355" w:rsidRDefault="006F57D7" w:rsidP="006F57D7">
            <w:pPr>
              <w:pStyle w:val="FLSBody"/>
              <w:rPr>
                <w:rFonts w:ascii="Calibri" w:eastAsia="Times New Roman" w:hAnsi="Calibri"/>
              </w:rPr>
            </w:pPr>
          </w:p>
          <w:p w:rsidR="006F57D7" w:rsidRPr="00B64355" w:rsidRDefault="00B64355" w:rsidP="006F57D7">
            <w:pPr>
              <w:pStyle w:val="FLSBody"/>
              <w:rPr>
                <w:rFonts w:ascii="Calibri" w:eastAsia="Times New Roman" w:hAnsi="Calibri"/>
              </w:rPr>
            </w:pPr>
            <w:r w:rsidRPr="00B64355">
              <w:rPr>
                <w:rFonts w:ascii="Calibri" w:eastAsia="Times New Roman" w:hAnsi="Calibri"/>
              </w:rPr>
              <w:t>21.6</w:t>
            </w:r>
            <w:r w:rsidR="006F57D7" w:rsidRPr="00B64355">
              <w:rPr>
                <w:rFonts w:ascii="Calibri" w:eastAsia="Times New Roman" w:hAnsi="Calibri"/>
              </w:rPr>
              <w:t xml:space="preserve"> ha</w:t>
            </w:r>
          </w:p>
        </w:tc>
        <w:tc>
          <w:tcPr>
            <w:tcW w:w="1843" w:type="dxa"/>
            <w:tcBorders>
              <w:top w:val="nil"/>
              <w:left w:val="single" w:sz="4" w:space="0" w:color="auto"/>
              <w:bottom w:val="nil"/>
              <w:right w:val="single" w:sz="4" w:space="0" w:color="auto"/>
            </w:tcBorders>
          </w:tcPr>
          <w:p w:rsidR="006F57D7" w:rsidRPr="00B64355" w:rsidRDefault="006F57D7" w:rsidP="006F57D7">
            <w:pPr>
              <w:pStyle w:val="FLSBody"/>
              <w:rPr>
                <w:rFonts w:ascii="Calibri" w:eastAsia="Times New Roman" w:hAnsi="Calibri"/>
              </w:rPr>
            </w:pPr>
          </w:p>
          <w:p w:rsidR="006F57D7" w:rsidRPr="00B64355" w:rsidRDefault="00B64355" w:rsidP="006F57D7">
            <w:pPr>
              <w:pStyle w:val="FLSBody"/>
              <w:rPr>
                <w:rFonts w:ascii="Calibri" w:eastAsia="Times New Roman" w:hAnsi="Calibri"/>
              </w:rPr>
            </w:pPr>
            <w:r w:rsidRPr="00B64355">
              <w:rPr>
                <w:rFonts w:ascii="Calibri" w:eastAsia="Times New Roman" w:hAnsi="Calibri"/>
              </w:rPr>
              <w:t>5.2</w:t>
            </w:r>
            <w:r w:rsidR="006F57D7" w:rsidRPr="00B64355">
              <w:rPr>
                <w:rFonts w:ascii="Calibri" w:eastAsia="Times New Roman" w:hAnsi="Calibri"/>
              </w:rPr>
              <w:t xml:space="preserve"> %</w:t>
            </w:r>
          </w:p>
        </w:tc>
      </w:tr>
      <w:tr w:rsidR="006F57D7" w:rsidTr="006F57D7">
        <w:tc>
          <w:tcPr>
            <w:tcW w:w="2122" w:type="dxa"/>
            <w:tcBorders>
              <w:top w:val="nil"/>
              <w:left w:val="single" w:sz="4" w:space="0" w:color="auto"/>
              <w:bottom w:val="nil"/>
              <w:right w:val="single" w:sz="4" w:space="0" w:color="auto"/>
            </w:tcBorders>
          </w:tcPr>
          <w:p w:rsidR="006F57D7" w:rsidRDefault="006F57D7" w:rsidP="006F57D7">
            <w:pPr>
              <w:pStyle w:val="FLSBody"/>
            </w:pPr>
            <w:r>
              <w:t>Secondary Species:</w:t>
            </w:r>
          </w:p>
          <w:p w:rsidR="006F57D7" w:rsidRPr="00780AE4" w:rsidRDefault="006F57D7" w:rsidP="006F57D7">
            <w:pPr>
              <w:pStyle w:val="FLSBody"/>
            </w:pPr>
            <w:r>
              <w:t>Other Conifers</w:t>
            </w:r>
          </w:p>
        </w:tc>
        <w:tc>
          <w:tcPr>
            <w:tcW w:w="1422" w:type="dxa"/>
            <w:tcBorders>
              <w:top w:val="nil"/>
              <w:left w:val="single" w:sz="4" w:space="0" w:color="auto"/>
              <w:bottom w:val="nil"/>
              <w:right w:val="single" w:sz="4" w:space="0" w:color="auto"/>
            </w:tcBorders>
            <w:vAlign w:val="bottom"/>
          </w:tcPr>
          <w:p w:rsidR="006F57D7" w:rsidRPr="00780AE4" w:rsidRDefault="006F57D7" w:rsidP="006F57D7">
            <w:pPr>
              <w:pStyle w:val="FLSBody"/>
            </w:pPr>
            <w:r>
              <w:t>6.4 ha</w:t>
            </w:r>
          </w:p>
        </w:tc>
        <w:tc>
          <w:tcPr>
            <w:tcW w:w="1838" w:type="dxa"/>
            <w:tcBorders>
              <w:top w:val="nil"/>
              <w:left w:val="single" w:sz="4" w:space="0" w:color="auto"/>
              <w:bottom w:val="nil"/>
              <w:right w:val="single" w:sz="4" w:space="0" w:color="auto"/>
            </w:tcBorders>
            <w:vAlign w:val="bottom"/>
          </w:tcPr>
          <w:p w:rsidR="006F57D7" w:rsidRPr="00780AE4" w:rsidRDefault="006F57D7" w:rsidP="006F57D7">
            <w:pPr>
              <w:pStyle w:val="FLSBody"/>
            </w:pPr>
            <w:r>
              <w:t>1.5 %</w:t>
            </w:r>
          </w:p>
        </w:tc>
        <w:tc>
          <w:tcPr>
            <w:tcW w:w="1984" w:type="dxa"/>
            <w:tcBorders>
              <w:top w:val="nil"/>
              <w:left w:val="single" w:sz="4" w:space="0" w:color="auto"/>
              <w:bottom w:val="nil"/>
              <w:right w:val="single" w:sz="4" w:space="0" w:color="auto"/>
            </w:tcBorders>
            <w:vAlign w:val="bottom"/>
          </w:tcPr>
          <w:p w:rsidR="006F57D7" w:rsidRPr="00B64355" w:rsidRDefault="00B64355" w:rsidP="006F57D7">
            <w:pPr>
              <w:pStyle w:val="FLSBody"/>
            </w:pPr>
            <w:r w:rsidRPr="00B64355">
              <w:t xml:space="preserve">46.5 </w:t>
            </w:r>
            <w:r w:rsidR="006F57D7" w:rsidRPr="00B64355">
              <w:t>ha</w:t>
            </w:r>
          </w:p>
        </w:tc>
        <w:tc>
          <w:tcPr>
            <w:tcW w:w="1843" w:type="dxa"/>
            <w:tcBorders>
              <w:top w:val="nil"/>
              <w:left w:val="single" w:sz="4" w:space="0" w:color="auto"/>
              <w:bottom w:val="nil"/>
              <w:right w:val="single" w:sz="4" w:space="0" w:color="auto"/>
            </w:tcBorders>
            <w:vAlign w:val="bottom"/>
          </w:tcPr>
          <w:p w:rsidR="006F57D7" w:rsidRPr="00B64355" w:rsidRDefault="00B64355" w:rsidP="006F57D7">
            <w:pPr>
              <w:pStyle w:val="FLSBody"/>
            </w:pPr>
            <w:r w:rsidRPr="00B64355">
              <w:t>11.1</w:t>
            </w:r>
            <w:r w:rsidR="006F57D7" w:rsidRPr="00B64355">
              <w:t xml:space="preserve"> %</w:t>
            </w:r>
          </w:p>
        </w:tc>
      </w:tr>
      <w:tr w:rsidR="006F57D7" w:rsidTr="006F57D7">
        <w:tc>
          <w:tcPr>
            <w:tcW w:w="2122" w:type="dxa"/>
            <w:tcBorders>
              <w:top w:val="nil"/>
              <w:left w:val="single" w:sz="4" w:space="0" w:color="auto"/>
              <w:bottom w:val="nil"/>
              <w:right w:val="single" w:sz="4" w:space="0" w:color="auto"/>
            </w:tcBorders>
          </w:tcPr>
          <w:p w:rsidR="006F57D7" w:rsidRDefault="006F57D7" w:rsidP="006F57D7">
            <w:pPr>
              <w:pStyle w:val="FLSBody"/>
            </w:pPr>
          </w:p>
        </w:tc>
        <w:tc>
          <w:tcPr>
            <w:tcW w:w="1422" w:type="dxa"/>
            <w:tcBorders>
              <w:top w:val="nil"/>
              <w:left w:val="single" w:sz="4" w:space="0" w:color="auto"/>
              <w:bottom w:val="nil"/>
              <w:right w:val="single" w:sz="4" w:space="0" w:color="auto"/>
            </w:tcBorders>
          </w:tcPr>
          <w:p w:rsidR="006F57D7" w:rsidRDefault="006F57D7" w:rsidP="006F57D7">
            <w:pPr>
              <w:pStyle w:val="FLSBody"/>
            </w:pPr>
          </w:p>
        </w:tc>
        <w:tc>
          <w:tcPr>
            <w:tcW w:w="1838" w:type="dxa"/>
            <w:tcBorders>
              <w:top w:val="nil"/>
              <w:left w:val="single" w:sz="4" w:space="0" w:color="auto"/>
              <w:bottom w:val="nil"/>
              <w:right w:val="single" w:sz="4" w:space="0" w:color="auto"/>
            </w:tcBorders>
          </w:tcPr>
          <w:p w:rsidR="006F57D7" w:rsidRDefault="006F57D7" w:rsidP="006F57D7">
            <w:pPr>
              <w:pStyle w:val="FLSBody"/>
            </w:pPr>
          </w:p>
        </w:tc>
        <w:tc>
          <w:tcPr>
            <w:tcW w:w="1984" w:type="dxa"/>
            <w:tcBorders>
              <w:top w:val="nil"/>
              <w:left w:val="single" w:sz="4" w:space="0" w:color="auto"/>
              <w:bottom w:val="nil"/>
              <w:right w:val="single" w:sz="4" w:space="0" w:color="auto"/>
            </w:tcBorders>
          </w:tcPr>
          <w:p w:rsidR="006F57D7" w:rsidRPr="00B64355" w:rsidRDefault="006F57D7" w:rsidP="006F57D7">
            <w:pPr>
              <w:pStyle w:val="FLSBody"/>
            </w:pPr>
          </w:p>
        </w:tc>
        <w:tc>
          <w:tcPr>
            <w:tcW w:w="1843" w:type="dxa"/>
            <w:tcBorders>
              <w:top w:val="nil"/>
              <w:left w:val="single" w:sz="4" w:space="0" w:color="auto"/>
              <w:bottom w:val="nil"/>
              <w:right w:val="single" w:sz="4" w:space="0" w:color="auto"/>
            </w:tcBorders>
          </w:tcPr>
          <w:p w:rsidR="006F57D7" w:rsidRPr="00B64355" w:rsidRDefault="006F57D7" w:rsidP="006F57D7">
            <w:pPr>
              <w:pStyle w:val="FLSBody"/>
            </w:pPr>
          </w:p>
        </w:tc>
      </w:tr>
      <w:tr w:rsidR="001C08DB" w:rsidTr="006F57D7">
        <w:tc>
          <w:tcPr>
            <w:tcW w:w="2122" w:type="dxa"/>
            <w:tcBorders>
              <w:top w:val="nil"/>
              <w:left w:val="single" w:sz="4" w:space="0" w:color="auto"/>
              <w:bottom w:val="nil"/>
              <w:right w:val="single" w:sz="4" w:space="0" w:color="auto"/>
            </w:tcBorders>
          </w:tcPr>
          <w:p w:rsidR="001C08DB" w:rsidRDefault="001C08DB" w:rsidP="006F57D7">
            <w:pPr>
              <w:pStyle w:val="FLSBody"/>
            </w:pPr>
            <w:r>
              <w:t>Fallow</w:t>
            </w:r>
          </w:p>
        </w:tc>
        <w:tc>
          <w:tcPr>
            <w:tcW w:w="1422" w:type="dxa"/>
            <w:tcBorders>
              <w:top w:val="nil"/>
              <w:left w:val="single" w:sz="4" w:space="0" w:color="auto"/>
              <w:bottom w:val="nil"/>
              <w:right w:val="single" w:sz="4" w:space="0" w:color="auto"/>
            </w:tcBorders>
          </w:tcPr>
          <w:p w:rsidR="001C08DB" w:rsidRDefault="001C08DB" w:rsidP="006F57D7">
            <w:pPr>
              <w:pStyle w:val="FLSBody"/>
            </w:pPr>
            <w:r>
              <w:t>29.7 ha</w:t>
            </w:r>
          </w:p>
        </w:tc>
        <w:tc>
          <w:tcPr>
            <w:tcW w:w="1838" w:type="dxa"/>
            <w:tcBorders>
              <w:top w:val="nil"/>
              <w:left w:val="single" w:sz="4" w:space="0" w:color="auto"/>
              <w:bottom w:val="nil"/>
              <w:right w:val="single" w:sz="4" w:space="0" w:color="auto"/>
            </w:tcBorders>
          </w:tcPr>
          <w:p w:rsidR="001C08DB" w:rsidRDefault="001C08DB" w:rsidP="006F57D7">
            <w:pPr>
              <w:pStyle w:val="FLSBody"/>
            </w:pPr>
            <w:r>
              <w:t>7.1 %</w:t>
            </w:r>
          </w:p>
        </w:tc>
        <w:tc>
          <w:tcPr>
            <w:tcW w:w="1984" w:type="dxa"/>
            <w:tcBorders>
              <w:top w:val="nil"/>
              <w:left w:val="single" w:sz="4" w:space="0" w:color="auto"/>
              <w:bottom w:val="nil"/>
              <w:right w:val="single" w:sz="4" w:space="0" w:color="auto"/>
            </w:tcBorders>
          </w:tcPr>
          <w:p w:rsidR="001C08DB" w:rsidRPr="00B64355" w:rsidRDefault="00B64355" w:rsidP="006F57D7">
            <w:pPr>
              <w:pStyle w:val="FLSBody"/>
            </w:pPr>
            <w:r w:rsidRPr="00B64355">
              <w:t>0</w:t>
            </w:r>
          </w:p>
        </w:tc>
        <w:tc>
          <w:tcPr>
            <w:tcW w:w="1843" w:type="dxa"/>
            <w:tcBorders>
              <w:top w:val="nil"/>
              <w:left w:val="single" w:sz="4" w:space="0" w:color="auto"/>
              <w:bottom w:val="nil"/>
              <w:right w:val="single" w:sz="4" w:space="0" w:color="auto"/>
            </w:tcBorders>
          </w:tcPr>
          <w:p w:rsidR="001C08DB" w:rsidRPr="00B64355" w:rsidRDefault="00B64355" w:rsidP="006F57D7">
            <w:pPr>
              <w:pStyle w:val="FLSBody"/>
            </w:pPr>
            <w:r w:rsidRPr="00B64355">
              <w:t>0</w:t>
            </w:r>
          </w:p>
        </w:tc>
      </w:tr>
      <w:tr w:rsidR="006F57D7" w:rsidTr="006F57D7">
        <w:tc>
          <w:tcPr>
            <w:tcW w:w="2122" w:type="dxa"/>
            <w:tcBorders>
              <w:top w:val="nil"/>
              <w:left w:val="single" w:sz="4" w:space="0" w:color="auto"/>
              <w:bottom w:val="single" w:sz="4" w:space="0" w:color="auto"/>
              <w:right w:val="single" w:sz="4" w:space="0" w:color="auto"/>
            </w:tcBorders>
          </w:tcPr>
          <w:p w:rsidR="006F57D7" w:rsidRPr="00780AE4" w:rsidRDefault="006F57D7" w:rsidP="006F57D7">
            <w:pPr>
              <w:pStyle w:val="FLSBody"/>
              <w:rPr>
                <w:rFonts w:ascii="Calibri" w:eastAsia="Times New Roman" w:hAnsi="Calibri"/>
              </w:rPr>
            </w:pPr>
            <w:r w:rsidRPr="00780AE4">
              <w:rPr>
                <w:rFonts w:ascii="Calibri" w:eastAsia="Times New Roman" w:hAnsi="Calibri"/>
              </w:rPr>
              <w:t>Open space</w:t>
            </w:r>
          </w:p>
        </w:tc>
        <w:tc>
          <w:tcPr>
            <w:tcW w:w="1422" w:type="dxa"/>
            <w:tcBorders>
              <w:top w:val="nil"/>
              <w:left w:val="single" w:sz="4" w:space="0" w:color="auto"/>
              <w:bottom w:val="single" w:sz="4" w:space="0" w:color="auto"/>
              <w:right w:val="single" w:sz="4" w:space="0" w:color="auto"/>
            </w:tcBorders>
          </w:tcPr>
          <w:p w:rsidR="006F57D7" w:rsidRPr="00780AE4" w:rsidRDefault="006F57D7" w:rsidP="006F57D7">
            <w:pPr>
              <w:pStyle w:val="FLSBody"/>
              <w:rPr>
                <w:rFonts w:ascii="Calibri" w:eastAsia="Times New Roman" w:hAnsi="Calibri"/>
              </w:rPr>
            </w:pPr>
            <w:r>
              <w:rPr>
                <w:rFonts w:cstheme="minorHAnsi"/>
                <w:szCs w:val="24"/>
              </w:rPr>
              <w:t>75</w:t>
            </w:r>
            <w:r w:rsidRPr="00664579">
              <w:rPr>
                <w:rFonts w:cstheme="minorHAnsi"/>
                <w:szCs w:val="24"/>
              </w:rPr>
              <w:t xml:space="preserve"> </w:t>
            </w:r>
            <w:r w:rsidRPr="00780AE4">
              <w:rPr>
                <w:rFonts w:ascii="Calibri" w:eastAsia="Times New Roman" w:hAnsi="Calibri"/>
              </w:rPr>
              <w:t>ha</w:t>
            </w:r>
          </w:p>
        </w:tc>
        <w:tc>
          <w:tcPr>
            <w:tcW w:w="1838" w:type="dxa"/>
            <w:tcBorders>
              <w:top w:val="nil"/>
              <w:left w:val="single" w:sz="4" w:space="0" w:color="auto"/>
              <w:bottom w:val="single" w:sz="4" w:space="0" w:color="auto"/>
              <w:right w:val="single" w:sz="4" w:space="0" w:color="auto"/>
            </w:tcBorders>
          </w:tcPr>
          <w:p w:rsidR="006F57D7" w:rsidRPr="00780AE4" w:rsidRDefault="006F57D7" w:rsidP="006F57D7">
            <w:pPr>
              <w:pStyle w:val="FLSBody"/>
              <w:rPr>
                <w:rFonts w:ascii="Calibri" w:eastAsia="Times New Roman" w:hAnsi="Calibri"/>
              </w:rPr>
            </w:pPr>
            <w:r>
              <w:rPr>
                <w:rFonts w:cstheme="minorHAnsi"/>
                <w:szCs w:val="24"/>
              </w:rPr>
              <w:t>17.9</w:t>
            </w:r>
            <w:r w:rsidRPr="00664579">
              <w:rPr>
                <w:rFonts w:cstheme="minorHAnsi"/>
                <w:szCs w:val="24"/>
              </w:rPr>
              <w:t xml:space="preserve"> </w:t>
            </w:r>
            <w:r w:rsidRPr="00780AE4">
              <w:rPr>
                <w:rFonts w:ascii="Calibri" w:eastAsia="Times New Roman" w:hAnsi="Calibri"/>
              </w:rPr>
              <w:t>%</w:t>
            </w:r>
          </w:p>
        </w:tc>
        <w:tc>
          <w:tcPr>
            <w:tcW w:w="1984" w:type="dxa"/>
            <w:tcBorders>
              <w:top w:val="nil"/>
              <w:left w:val="single" w:sz="4" w:space="0" w:color="auto"/>
              <w:bottom w:val="single" w:sz="4" w:space="0" w:color="auto"/>
              <w:right w:val="single" w:sz="4" w:space="0" w:color="auto"/>
            </w:tcBorders>
          </w:tcPr>
          <w:p w:rsidR="006F57D7" w:rsidRPr="00B64355" w:rsidRDefault="00B64355" w:rsidP="006F57D7">
            <w:pPr>
              <w:pStyle w:val="FLSBody"/>
              <w:rPr>
                <w:rFonts w:ascii="Calibri" w:eastAsia="Times New Roman" w:hAnsi="Calibri"/>
              </w:rPr>
            </w:pPr>
            <w:r w:rsidRPr="00B64355">
              <w:rPr>
                <w:rFonts w:cstheme="minorHAnsi"/>
                <w:szCs w:val="24"/>
              </w:rPr>
              <w:t>92.3</w:t>
            </w:r>
            <w:r w:rsidR="006F57D7" w:rsidRPr="00B64355">
              <w:rPr>
                <w:rFonts w:cstheme="minorHAnsi"/>
                <w:szCs w:val="24"/>
              </w:rPr>
              <w:t xml:space="preserve"> </w:t>
            </w:r>
            <w:r w:rsidR="006F57D7" w:rsidRPr="00B64355">
              <w:rPr>
                <w:rFonts w:ascii="Calibri" w:eastAsia="Times New Roman" w:hAnsi="Calibri"/>
              </w:rPr>
              <w:t>ha</w:t>
            </w:r>
          </w:p>
        </w:tc>
        <w:tc>
          <w:tcPr>
            <w:tcW w:w="1843" w:type="dxa"/>
            <w:tcBorders>
              <w:top w:val="nil"/>
              <w:left w:val="single" w:sz="4" w:space="0" w:color="auto"/>
              <w:bottom w:val="single" w:sz="4" w:space="0" w:color="auto"/>
              <w:right w:val="single" w:sz="4" w:space="0" w:color="auto"/>
            </w:tcBorders>
          </w:tcPr>
          <w:p w:rsidR="006F57D7" w:rsidRPr="00B64355" w:rsidRDefault="00B64355" w:rsidP="006F57D7">
            <w:pPr>
              <w:pStyle w:val="FLSBody"/>
              <w:rPr>
                <w:rFonts w:ascii="Calibri" w:eastAsia="Times New Roman" w:hAnsi="Calibri"/>
              </w:rPr>
            </w:pPr>
            <w:r w:rsidRPr="00B64355">
              <w:rPr>
                <w:rFonts w:cstheme="minorHAnsi"/>
                <w:szCs w:val="24"/>
              </w:rPr>
              <w:t>22</w:t>
            </w:r>
            <w:r w:rsidR="006F57D7" w:rsidRPr="00B64355">
              <w:rPr>
                <w:rFonts w:cstheme="minorHAnsi"/>
                <w:szCs w:val="24"/>
              </w:rPr>
              <w:t xml:space="preserve"> </w:t>
            </w:r>
            <w:r w:rsidR="006F57D7" w:rsidRPr="00B64355">
              <w:rPr>
                <w:rFonts w:ascii="Calibri" w:eastAsia="Times New Roman" w:hAnsi="Calibri"/>
              </w:rPr>
              <w:t>%</w:t>
            </w:r>
          </w:p>
        </w:tc>
      </w:tr>
    </w:tbl>
    <w:p w:rsidR="0059096B" w:rsidRPr="00492DA9" w:rsidRDefault="0059096B" w:rsidP="0059096B">
      <w:pPr>
        <w:spacing w:after="0" w:line="240" w:lineRule="auto"/>
        <w:ind w:right="-187"/>
        <w:jc w:val="both"/>
        <w:rPr>
          <w:rFonts w:eastAsia="Verdana" w:cs="Calibri"/>
          <w:spacing w:val="-1"/>
          <w:sz w:val="20"/>
          <w:szCs w:val="20"/>
        </w:rPr>
      </w:pPr>
    </w:p>
    <w:tbl>
      <w:tblPr>
        <w:tblStyle w:val="TableGrid"/>
        <w:tblW w:w="9322" w:type="dxa"/>
        <w:tblLook w:val="04A0" w:firstRow="1" w:lastRow="0" w:firstColumn="1" w:lastColumn="0" w:noHBand="0" w:noVBand="1"/>
        <w:tblCaption w:val="Planned operations"/>
        <w:tblDescription w:val="For the plan period of 2021 to 2031 there are no planned forestry operations."/>
      </w:tblPr>
      <w:tblGrid>
        <w:gridCol w:w="4661"/>
        <w:gridCol w:w="4661"/>
      </w:tblGrid>
      <w:tr w:rsidR="00216EB3" w:rsidTr="00216EB3">
        <w:trPr>
          <w:tblHeader/>
        </w:trPr>
        <w:tc>
          <w:tcPr>
            <w:tcW w:w="4661" w:type="dxa"/>
            <w:shd w:val="clear" w:color="auto" w:fill="D9D9D9" w:themeFill="background1" w:themeFillShade="D9"/>
          </w:tcPr>
          <w:p w:rsidR="00216EB3" w:rsidRPr="00780AE4" w:rsidRDefault="00216EB3" w:rsidP="00780AE4">
            <w:pPr>
              <w:pStyle w:val="FLSBody"/>
              <w:rPr>
                <w:rFonts w:ascii="Calibri" w:eastAsia="Times New Roman" w:hAnsi="Calibri"/>
                <w:b/>
              </w:rPr>
            </w:pPr>
            <w:r w:rsidRPr="00780AE4">
              <w:rPr>
                <w:rFonts w:ascii="Calibri" w:eastAsia="Times New Roman" w:hAnsi="Calibri"/>
                <w:b/>
              </w:rPr>
              <w:t>Planned Operations</w:t>
            </w:r>
          </w:p>
        </w:tc>
        <w:tc>
          <w:tcPr>
            <w:tcW w:w="4661" w:type="dxa"/>
            <w:shd w:val="clear" w:color="auto" w:fill="D9D9D9" w:themeFill="background1" w:themeFillShade="D9"/>
          </w:tcPr>
          <w:p w:rsidR="00216EB3" w:rsidRPr="00780AE4" w:rsidRDefault="00216EB3" w:rsidP="0006215C">
            <w:pPr>
              <w:pStyle w:val="FLSBody"/>
              <w:rPr>
                <w:rFonts w:ascii="Calibri" w:eastAsia="Times New Roman" w:hAnsi="Calibri"/>
                <w:b/>
              </w:rPr>
            </w:pPr>
            <w:r w:rsidRPr="00780AE4">
              <w:rPr>
                <w:rFonts w:ascii="Calibri" w:eastAsia="Times New Roman" w:hAnsi="Calibri"/>
                <w:b/>
              </w:rPr>
              <w:t>20</w:t>
            </w:r>
            <w:r w:rsidR="0006215C">
              <w:rPr>
                <w:rFonts w:ascii="Calibri" w:eastAsia="Times New Roman" w:hAnsi="Calibri"/>
                <w:b/>
              </w:rPr>
              <w:t>21 – 2031</w:t>
            </w:r>
            <w:r w:rsidRPr="00780AE4">
              <w:rPr>
                <w:rFonts w:ascii="Calibri" w:eastAsia="Times New Roman" w:hAnsi="Calibri"/>
                <w:b/>
              </w:rPr>
              <w:t xml:space="preserve"> plan period</w:t>
            </w:r>
          </w:p>
        </w:tc>
      </w:tr>
      <w:tr w:rsidR="00216EB3" w:rsidTr="00216EB3">
        <w:tc>
          <w:tcPr>
            <w:tcW w:w="4661" w:type="dxa"/>
          </w:tcPr>
          <w:p w:rsidR="00216EB3" w:rsidRPr="00780AE4" w:rsidRDefault="00216EB3" w:rsidP="00780AE4">
            <w:pPr>
              <w:pStyle w:val="FLSBody"/>
              <w:rPr>
                <w:rFonts w:ascii="Calibri" w:eastAsia="Times New Roman" w:hAnsi="Calibri"/>
              </w:rPr>
            </w:pPr>
            <w:r w:rsidRPr="00780AE4">
              <w:rPr>
                <w:rFonts w:ascii="Calibri" w:eastAsia="Times New Roman" w:hAnsi="Calibri"/>
              </w:rPr>
              <w:t xml:space="preserve">Felling </w:t>
            </w:r>
          </w:p>
        </w:tc>
        <w:tc>
          <w:tcPr>
            <w:tcW w:w="4661" w:type="dxa"/>
          </w:tcPr>
          <w:p w:rsidR="00216EB3" w:rsidRPr="00780AE4" w:rsidRDefault="00B64355" w:rsidP="00780AE4">
            <w:pPr>
              <w:pStyle w:val="FLSBody"/>
              <w:rPr>
                <w:rFonts w:ascii="Calibri" w:eastAsia="Times New Roman" w:hAnsi="Calibri"/>
              </w:rPr>
            </w:pPr>
            <w:r>
              <w:rPr>
                <w:rFonts w:ascii="Calibri" w:eastAsia="Times New Roman" w:hAnsi="Calibri"/>
              </w:rPr>
              <w:t>65.1</w:t>
            </w:r>
            <w:r w:rsidR="00216EB3" w:rsidRPr="00780AE4">
              <w:rPr>
                <w:rFonts w:ascii="Calibri" w:eastAsia="Times New Roman" w:hAnsi="Calibri"/>
              </w:rPr>
              <w:t xml:space="preserve"> ha</w:t>
            </w:r>
          </w:p>
        </w:tc>
      </w:tr>
      <w:tr w:rsidR="00216EB3" w:rsidTr="00216EB3">
        <w:tc>
          <w:tcPr>
            <w:tcW w:w="4661" w:type="dxa"/>
          </w:tcPr>
          <w:p w:rsidR="00216EB3" w:rsidRPr="00780AE4" w:rsidRDefault="00216EB3" w:rsidP="00780AE4">
            <w:pPr>
              <w:pStyle w:val="FLSBody"/>
              <w:rPr>
                <w:rFonts w:ascii="Calibri" w:eastAsia="Times New Roman" w:hAnsi="Calibri"/>
              </w:rPr>
            </w:pPr>
            <w:r w:rsidRPr="00780AE4">
              <w:rPr>
                <w:rFonts w:ascii="Calibri" w:eastAsia="Times New Roman" w:hAnsi="Calibri"/>
              </w:rPr>
              <w:lastRenderedPageBreak/>
              <w:t xml:space="preserve">Thinning </w:t>
            </w:r>
          </w:p>
        </w:tc>
        <w:tc>
          <w:tcPr>
            <w:tcW w:w="4661" w:type="dxa"/>
          </w:tcPr>
          <w:p w:rsidR="00216EB3" w:rsidRPr="00780AE4" w:rsidRDefault="00B64355" w:rsidP="00780AE4">
            <w:pPr>
              <w:pStyle w:val="FLSBody"/>
              <w:rPr>
                <w:rFonts w:ascii="Calibri" w:eastAsia="Times New Roman" w:hAnsi="Calibri"/>
              </w:rPr>
            </w:pPr>
            <w:r>
              <w:rPr>
                <w:rFonts w:ascii="Calibri" w:eastAsia="Times New Roman" w:hAnsi="Calibri"/>
              </w:rPr>
              <w:t>79.8</w:t>
            </w:r>
            <w:r w:rsidR="00216EB3" w:rsidRPr="00780AE4">
              <w:rPr>
                <w:rFonts w:ascii="Calibri" w:eastAsia="Times New Roman" w:hAnsi="Calibri"/>
              </w:rPr>
              <w:t xml:space="preserve"> ha</w:t>
            </w:r>
          </w:p>
        </w:tc>
      </w:tr>
      <w:tr w:rsidR="00216EB3" w:rsidTr="00216EB3">
        <w:tc>
          <w:tcPr>
            <w:tcW w:w="4661" w:type="dxa"/>
          </w:tcPr>
          <w:p w:rsidR="00216EB3" w:rsidRPr="00780AE4" w:rsidRDefault="00216EB3" w:rsidP="00780AE4">
            <w:pPr>
              <w:pStyle w:val="FLSBody"/>
              <w:rPr>
                <w:rFonts w:ascii="Calibri" w:eastAsia="Times New Roman" w:hAnsi="Calibri"/>
              </w:rPr>
            </w:pPr>
            <w:r w:rsidRPr="00780AE4">
              <w:rPr>
                <w:rFonts w:ascii="Calibri" w:eastAsia="Times New Roman" w:hAnsi="Calibri"/>
              </w:rPr>
              <w:t>Planting</w:t>
            </w:r>
          </w:p>
        </w:tc>
        <w:tc>
          <w:tcPr>
            <w:tcW w:w="4661" w:type="dxa"/>
          </w:tcPr>
          <w:p w:rsidR="00216EB3" w:rsidRPr="00780AE4" w:rsidRDefault="00B64355" w:rsidP="00780AE4">
            <w:pPr>
              <w:pStyle w:val="FLSBody"/>
              <w:rPr>
                <w:rFonts w:ascii="Calibri" w:eastAsia="Times New Roman" w:hAnsi="Calibri"/>
              </w:rPr>
            </w:pPr>
            <w:r>
              <w:rPr>
                <w:rFonts w:ascii="Calibri" w:eastAsia="Times New Roman" w:hAnsi="Calibri"/>
              </w:rPr>
              <w:t>92.59</w:t>
            </w:r>
            <w:r w:rsidR="00216EB3" w:rsidRPr="00780AE4">
              <w:rPr>
                <w:rFonts w:ascii="Calibri" w:eastAsia="Times New Roman" w:hAnsi="Calibri"/>
              </w:rPr>
              <w:t xml:space="preserve"> ha</w:t>
            </w:r>
          </w:p>
        </w:tc>
      </w:tr>
      <w:tr w:rsidR="00216EB3" w:rsidTr="00216EB3">
        <w:tc>
          <w:tcPr>
            <w:tcW w:w="4661" w:type="dxa"/>
          </w:tcPr>
          <w:p w:rsidR="00216EB3" w:rsidRPr="00780AE4" w:rsidRDefault="00216EB3" w:rsidP="00780AE4">
            <w:pPr>
              <w:pStyle w:val="FLSBody"/>
              <w:rPr>
                <w:rFonts w:ascii="Calibri" w:eastAsia="Times New Roman" w:hAnsi="Calibri"/>
              </w:rPr>
            </w:pPr>
            <w:r w:rsidRPr="00780AE4">
              <w:rPr>
                <w:rFonts w:ascii="Calibri" w:eastAsia="Times New Roman" w:hAnsi="Calibri"/>
              </w:rPr>
              <w:t>Road construction</w:t>
            </w:r>
          </w:p>
        </w:tc>
        <w:tc>
          <w:tcPr>
            <w:tcW w:w="4661" w:type="dxa"/>
          </w:tcPr>
          <w:p w:rsidR="00216EB3" w:rsidRPr="00780AE4" w:rsidRDefault="00B64355" w:rsidP="006B2A73">
            <w:pPr>
              <w:pStyle w:val="FLSBody"/>
              <w:rPr>
                <w:rFonts w:ascii="Calibri" w:eastAsia="Times New Roman" w:hAnsi="Calibri"/>
              </w:rPr>
            </w:pPr>
            <w:r>
              <w:rPr>
                <w:rFonts w:ascii="Calibri" w:eastAsia="Times New Roman" w:hAnsi="Calibri"/>
              </w:rPr>
              <w:t>48</w:t>
            </w:r>
            <w:r w:rsidR="006B2A73">
              <w:rPr>
                <w:rFonts w:ascii="Calibri" w:eastAsia="Times New Roman" w:hAnsi="Calibri"/>
              </w:rPr>
              <w:t>0</w:t>
            </w:r>
            <w:r w:rsidR="00216EB3" w:rsidRPr="00780AE4">
              <w:rPr>
                <w:rFonts w:ascii="Calibri" w:eastAsia="Times New Roman" w:hAnsi="Calibri"/>
              </w:rPr>
              <w:t xml:space="preserve"> </w:t>
            </w:r>
            <w:r w:rsidR="006B2A73">
              <w:rPr>
                <w:rFonts w:ascii="Calibri" w:eastAsia="Times New Roman" w:hAnsi="Calibri"/>
              </w:rPr>
              <w:t>m</w:t>
            </w:r>
          </w:p>
        </w:tc>
      </w:tr>
      <w:tr w:rsidR="00216EB3" w:rsidTr="00216EB3">
        <w:tc>
          <w:tcPr>
            <w:tcW w:w="4661" w:type="dxa"/>
          </w:tcPr>
          <w:p w:rsidR="00216EB3" w:rsidRPr="00780AE4" w:rsidRDefault="00216EB3" w:rsidP="00780AE4">
            <w:pPr>
              <w:pStyle w:val="FLSBody"/>
              <w:rPr>
                <w:rFonts w:ascii="Calibri" w:eastAsia="Times New Roman" w:hAnsi="Calibri"/>
              </w:rPr>
            </w:pPr>
            <w:r w:rsidRPr="00780AE4">
              <w:rPr>
                <w:rFonts w:ascii="Calibri" w:eastAsia="Times New Roman" w:hAnsi="Calibri"/>
              </w:rPr>
              <w:t>Road upgrade</w:t>
            </w:r>
          </w:p>
        </w:tc>
        <w:tc>
          <w:tcPr>
            <w:tcW w:w="4661" w:type="dxa"/>
          </w:tcPr>
          <w:p w:rsidR="00216EB3" w:rsidRPr="00780AE4" w:rsidRDefault="000A6532" w:rsidP="006B2A73">
            <w:pPr>
              <w:pStyle w:val="FLSBody"/>
              <w:rPr>
                <w:rFonts w:ascii="Calibri" w:eastAsia="Times New Roman" w:hAnsi="Calibri"/>
              </w:rPr>
            </w:pPr>
            <w:r>
              <w:rPr>
                <w:rFonts w:ascii="Calibri" w:eastAsia="Times New Roman" w:hAnsi="Calibri"/>
              </w:rPr>
              <w:t>329</w:t>
            </w:r>
            <w:r w:rsidR="006B2A73">
              <w:rPr>
                <w:rFonts w:ascii="Calibri" w:eastAsia="Times New Roman" w:hAnsi="Calibri"/>
              </w:rPr>
              <w:t>0 m</w:t>
            </w:r>
          </w:p>
        </w:tc>
      </w:tr>
    </w:tbl>
    <w:p w:rsidR="0059096B" w:rsidRDefault="0059096B" w:rsidP="00B26C97">
      <w:pPr>
        <w:pStyle w:val="FLSBody"/>
      </w:pPr>
    </w:p>
    <w:tbl>
      <w:tblPr>
        <w:tblStyle w:val="TableGrid"/>
        <w:tblW w:w="9322" w:type="dxa"/>
        <w:tblLook w:val="04A0" w:firstRow="1" w:lastRow="0" w:firstColumn="1" w:lastColumn="0" w:noHBand="0" w:noVBand="1"/>
        <w:tblCaption w:val="Significant Environment or Conservation Features"/>
        <w:tblDescription w:val="The Barlay burn drains into Loch Ken special protection area approximately 5 kilometres southwest of the plan area. There is deep peat on site and the restored bog will remain unplanted. Bartaggart lies within the Galloway and Souther Ayrshire Biosphere in addition to within the Stewartry ESA code 6 Environmentally Sensitive Area (Scotland). There are no other significant features. "/>
      </w:tblPr>
      <w:tblGrid>
        <w:gridCol w:w="5098"/>
        <w:gridCol w:w="4224"/>
      </w:tblGrid>
      <w:tr w:rsidR="00B26C97" w:rsidTr="000F0423">
        <w:trPr>
          <w:tblHeader/>
        </w:trPr>
        <w:tc>
          <w:tcPr>
            <w:tcW w:w="5098" w:type="dxa"/>
            <w:tcBorders>
              <w:right w:val="nil"/>
            </w:tcBorders>
            <w:shd w:val="clear" w:color="auto" w:fill="D9D9D9" w:themeFill="background1" w:themeFillShade="D9"/>
          </w:tcPr>
          <w:p w:rsidR="00B26C97" w:rsidRPr="00780AE4" w:rsidRDefault="00B26C97" w:rsidP="00780AE4">
            <w:pPr>
              <w:pStyle w:val="FLSBody"/>
              <w:rPr>
                <w:rFonts w:ascii="Calibri" w:eastAsia="Verdana" w:hAnsi="Calibri" w:cs="Calibri"/>
                <w:b/>
                <w:sz w:val="20"/>
                <w:szCs w:val="20"/>
              </w:rPr>
            </w:pPr>
            <w:r w:rsidRPr="00780AE4">
              <w:rPr>
                <w:rFonts w:ascii="Calibri" w:eastAsia="Times New Roman" w:hAnsi="Calibri"/>
                <w:b/>
              </w:rPr>
              <w:t>Significant Environment / Conservation Features</w:t>
            </w:r>
          </w:p>
        </w:tc>
        <w:tc>
          <w:tcPr>
            <w:tcW w:w="4224" w:type="dxa"/>
            <w:tcBorders>
              <w:left w:val="nil"/>
            </w:tcBorders>
            <w:shd w:val="clear" w:color="auto" w:fill="D9D9D9" w:themeFill="background1" w:themeFillShade="D9"/>
          </w:tcPr>
          <w:p w:rsidR="00B26C97" w:rsidRPr="00216EB3" w:rsidRDefault="00B26C97" w:rsidP="006B0404">
            <w:pPr>
              <w:spacing w:after="0" w:line="240" w:lineRule="auto"/>
              <w:ind w:right="-187"/>
              <w:rPr>
                <w:rFonts w:eastAsia="Verdana" w:cs="Calibri"/>
                <w:b/>
                <w:spacing w:val="-1"/>
                <w:sz w:val="20"/>
                <w:szCs w:val="20"/>
              </w:rPr>
            </w:pPr>
          </w:p>
        </w:tc>
      </w:tr>
      <w:tr w:rsidR="00B26C97" w:rsidTr="000F0423">
        <w:tc>
          <w:tcPr>
            <w:tcW w:w="5098" w:type="dxa"/>
          </w:tcPr>
          <w:p w:rsidR="00B26C97" w:rsidRPr="00780AE4" w:rsidRDefault="00B26C97" w:rsidP="00780AE4">
            <w:pPr>
              <w:pStyle w:val="FLSBody"/>
              <w:rPr>
                <w:rFonts w:ascii="Calibri" w:eastAsia="Times New Roman" w:hAnsi="Calibri"/>
              </w:rPr>
            </w:pPr>
            <w:r w:rsidRPr="00780AE4">
              <w:rPr>
                <w:rFonts w:ascii="Calibri" w:eastAsia="Times New Roman" w:hAnsi="Calibri"/>
              </w:rPr>
              <w:t>Special Protection Area (SPA)</w:t>
            </w:r>
          </w:p>
        </w:tc>
        <w:tc>
          <w:tcPr>
            <w:tcW w:w="4224" w:type="dxa"/>
          </w:tcPr>
          <w:p w:rsidR="00B26C97" w:rsidRPr="00780AE4" w:rsidRDefault="000A6532" w:rsidP="00780AE4">
            <w:pPr>
              <w:pStyle w:val="FLSBody"/>
              <w:rPr>
                <w:rFonts w:ascii="Calibri" w:eastAsia="Times New Roman" w:hAnsi="Calibri"/>
              </w:rPr>
            </w:pPr>
            <w:r>
              <w:rPr>
                <w:rFonts w:ascii="Calibri" w:eastAsia="Times New Roman" w:hAnsi="Calibri"/>
              </w:rPr>
              <w:t>No</w:t>
            </w:r>
          </w:p>
        </w:tc>
      </w:tr>
      <w:tr w:rsidR="00B26C97" w:rsidTr="000F0423">
        <w:tc>
          <w:tcPr>
            <w:tcW w:w="5098" w:type="dxa"/>
          </w:tcPr>
          <w:p w:rsidR="00B26C97" w:rsidRPr="00780AE4" w:rsidRDefault="00B26C97" w:rsidP="00780AE4">
            <w:pPr>
              <w:pStyle w:val="FLSBody"/>
              <w:rPr>
                <w:rFonts w:ascii="Calibri" w:eastAsia="Times New Roman" w:hAnsi="Calibri"/>
              </w:rPr>
            </w:pPr>
            <w:r w:rsidRPr="00780AE4">
              <w:rPr>
                <w:rFonts w:ascii="Calibri" w:eastAsia="Times New Roman" w:hAnsi="Calibri"/>
              </w:rPr>
              <w:t>Deep peat soil (&gt;50 cm thickness)</w:t>
            </w:r>
          </w:p>
        </w:tc>
        <w:tc>
          <w:tcPr>
            <w:tcW w:w="4224" w:type="dxa"/>
          </w:tcPr>
          <w:p w:rsidR="00B26C97" w:rsidRPr="00780AE4" w:rsidRDefault="000A6532" w:rsidP="00780AE4">
            <w:pPr>
              <w:pStyle w:val="FLSBody"/>
              <w:rPr>
                <w:rFonts w:ascii="Calibri" w:eastAsia="Times New Roman" w:hAnsi="Calibri"/>
              </w:rPr>
            </w:pPr>
            <w:r w:rsidRPr="000A6532">
              <w:rPr>
                <w:rFonts w:ascii="Calibri" w:eastAsia="Times New Roman" w:hAnsi="Calibri"/>
              </w:rPr>
              <w:t>Three small isolated areas of deep peat have been identifie</w:t>
            </w:r>
            <w:bookmarkStart w:id="0" w:name="_GoBack"/>
            <w:bookmarkEnd w:id="0"/>
            <w:r w:rsidRPr="000A6532">
              <w:rPr>
                <w:rFonts w:ascii="Calibri" w:eastAsia="Times New Roman" w:hAnsi="Calibri"/>
              </w:rPr>
              <w:t xml:space="preserve">d. Currently two are managed open areas and will remain so. The third area is due to be felled in phase two of this plan period and will remain as managed open thereafter.  </w:t>
            </w:r>
          </w:p>
        </w:tc>
      </w:tr>
      <w:tr w:rsidR="00B26C97" w:rsidTr="000F0423">
        <w:tc>
          <w:tcPr>
            <w:tcW w:w="5098" w:type="dxa"/>
          </w:tcPr>
          <w:p w:rsidR="00B26C97" w:rsidRPr="00780AE4" w:rsidRDefault="00B26C97" w:rsidP="00780AE4">
            <w:pPr>
              <w:pStyle w:val="FLSBody"/>
              <w:rPr>
                <w:rFonts w:ascii="Calibri" w:eastAsia="Times New Roman" w:hAnsi="Calibri"/>
              </w:rPr>
            </w:pPr>
            <w:r w:rsidRPr="00780AE4">
              <w:rPr>
                <w:rFonts w:ascii="Calibri" w:eastAsia="Times New Roman" w:hAnsi="Calibri"/>
              </w:rPr>
              <w:t>Biosphere reserve</w:t>
            </w:r>
          </w:p>
        </w:tc>
        <w:tc>
          <w:tcPr>
            <w:tcW w:w="4224" w:type="dxa"/>
          </w:tcPr>
          <w:p w:rsidR="00B26C97" w:rsidRPr="00780AE4" w:rsidRDefault="00B26C97" w:rsidP="00780AE4">
            <w:pPr>
              <w:pStyle w:val="FLSBody"/>
              <w:rPr>
                <w:rFonts w:ascii="Calibri" w:eastAsia="Times New Roman" w:hAnsi="Calibri"/>
              </w:rPr>
            </w:pPr>
            <w:r w:rsidRPr="00780AE4">
              <w:rPr>
                <w:rFonts w:ascii="Calibri" w:eastAsia="Times New Roman" w:hAnsi="Calibri"/>
              </w:rPr>
              <w:t>Galloway and Southern Ayrshire Biosphere</w:t>
            </w:r>
          </w:p>
        </w:tc>
      </w:tr>
      <w:tr w:rsidR="00B26C97" w:rsidTr="000F0423">
        <w:tc>
          <w:tcPr>
            <w:tcW w:w="5098" w:type="dxa"/>
          </w:tcPr>
          <w:p w:rsidR="00B26C97" w:rsidRPr="00780AE4" w:rsidRDefault="00B26C97" w:rsidP="00780AE4">
            <w:pPr>
              <w:pStyle w:val="FLSBody"/>
              <w:rPr>
                <w:rFonts w:ascii="Calibri" w:eastAsia="Times New Roman" w:hAnsi="Calibri"/>
              </w:rPr>
            </w:pPr>
            <w:r w:rsidRPr="00780AE4">
              <w:rPr>
                <w:rFonts w:ascii="Calibri" w:eastAsia="Times New Roman" w:hAnsi="Calibri"/>
              </w:rPr>
              <w:t xml:space="preserve">Environmentally Sensitive Area (Scotland) </w:t>
            </w:r>
          </w:p>
        </w:tc>
        <w:tc>
          <w:tcPr>
            <w:tcW w:w="4224" w:type="dxa"/>
          </w:tcPr>
          <w:p w:rsidR="00B26C97" w:rsidRPr="00780AE4" w:rsidRDefault="000A6532" w:rsidP="00780AE4">
            <w:pPr>
              <w:pStyle w:val="FLSBody"/>
              <w:rPr>
                <w:rFonts w:ascii="Calibri" w:eastAsia="Times New Roman" w:hAnsi="Calibri"/>
              </w:rPr>
            </w:pPr>
            <w:r>
              <w:rPr>
                <w:rFonts w:ascii="Calibri" w:eastAsia="Times New Roman" w:hAnsi="Calibri"/>
              </w:rPr>
              <w:t>No</w:t>
            </w:r>
          </w:p>
        </w:tc>
      </w:tr>
      <w:tr w:rsidR="00B26C97" w:rsidTr="000F0423">
        <w:tc>
          <w:tcPr>
            <w:tcW w:w="5098" w:type="dxa"/>
          </w:tcPr>
          <w:p w:rsidR="00B26C97" w:rsidRPr="00780AE4" w:rsidRDefault="00B26C97" w:rsidP="00780AE4">
            <w:pPr>
              <w:pStyle w:val="FLSBody"/>
              <w:rPr>
                <w:rFonts w:ascii="Calibri" w:eastAsia="Times New Roman" w:hAnsi="Calibri"/>
              </w:rPr>
            </w:pPr>
            <w:r w:rsidRPr="00780AE4">
              <w:rPr>
                <w:rFonts w:ascii="Calibri" w:eastAsia="Times New Roman" w:hAnsi="Calibri"/>
              </w:rPr>
              <w:t>Minimum Intervention / Natural Reserve / Long Term Retention</w:t>
            </w:r>
          </w:p>
        </w:tc>
        <w:tc>
          <w:tcPr>
            <w:tcW w:w="4224" w:type="dxa"/>
          </w:tcPr>
          <w:p w:rsidR="00B26C97" w:rsidRPr="00780AE4" w:rsidRDefault="000A6532" w:rsidP="00780AE4">
            <w:pPr>
              <w:pStyle w:val="FLSBody"/>
              <w:rPr>
                <w:rFonts w:ascii="Calibri" w:eastAsia="Times New Roman" w:hAnsi="Calibri"/>
              </w:rPr>
            </w:pPr>
            <w:r>
              <w:rPr>
                <w:rFonts w:ascii="Calibri" w:eastAsia="Times New Roman" w:hAnsi="Calibri"/>
              </w:rPr>
              <w:t xml:space="preserve">Two </w:t>
            </w:r>
            <w:r w:rsidR="006B2A73">
              <w:rPr>
                <w:rFonts w:ascii="Calibri" w:eastAsia="Times New Roman" w:hAnsi="Calibri"/>
              </w:rPr>
              <w:t xml:space="preserve">new </w:t>
            </w:r>
            <w:proofErr w:type="spellStart"/>
            <w:r>
              <w:rPr>
                <w:rFonts w:ascii="Calibri" w:eastAsia="Times New Roman" w:hAnsi="Calibri"/>
              </w:rPr>
              <w:t>LTR</w:t>
            </w:r>
            <w:proofErr w:type="spellEnd"/>
            <w:r>
              <w:rPr>
                <w:rFonts w:ascii="Calibri" w:eastAsia="Times New Roman" w:hAnsi="Calibri"/>
              </w:rPr>
              <w:t xml:space="preserve"> areas (5.02 ha)</w:t>
            </w:r>
          </w:p>
        </w:tc>
      </w:tr>
    </w:tbl>
    <w:p w:rsidR="008E491F" w:rsidRDefault="008E491F" w:rsidP="00780AE4">
      <w:pPr>
        <w:pStyle w:val="FLSHeading2Bold"/>
      </w:pPr>
    </w:p>
    <w:p w:rsidR="00B26C97" w:rsidRDefault="00B26C97" w:rsidP="00780AE4">
      <w:pPr>
        <w:pStyle w:val="FLSHeading2Bold"/>
      </w:pPr>
      <w:r>
        <w:t>Critical Success Factors</w:t>
      </w:r>
    </w:p>
    <w:p w:rsidR="000A6532" w:rsidRPr="005E3D56" w:rsidRDefault="000A6532" w:rsidP="000A6532">
      <w:pPr>
        <w:pStyle w:val="FLSBullets"/>
        <w:rPr>
          <w:lang w:eastAsia="en-GB"/>
        </w:rPr>
      </w:pPr>
      <w:r w:rsidRPr="005E3D56">
        <w:rPr>
          <w:lang w:eastAsia="en-GB"/>
        </w:rPr>
        <w:t>Planting carried out sustainably</w:t>
      </w:r>
      <w:r>
        <w:rPr>
          <w:lang w:eastAsia="en-GB"/>
        </w:rPr>
        <w:t>,</w:t>
      </w:r>
      <w:r w:rsidRPr="005E3D56">
        <w:rPr>
          <w:lang w:eastAsia="en-GB"/>
        </w:rPr>
        <w:t xml:space="preserve"> </w:t>
      </w:r>
      <w:r>
        <w:rPr>
          <w:lang w:eastAsia="en-GB"/>
        </w:rPr>
        <w:t xml:space="preserve">to meet </w:t>
      </w:r>
      <w:r w:rsidRPr="005E3D56">
        <w:rPr>
          <w:lang w:eastAsia="en-GB"/>
        </w:rPr>
        <w:t xml:space="preserve">the stocking density requirements </w:t>
      </w:r>
    </w:p>
    <w:p w:rsidR="000A6532" w:rsidRPr="005E3D56" w:rsidRDefault="000A6532" w:rsidP="000A6532">
      <w:pPr>
        <w:pStyle w:val="FLSBullets"/>
        <w:rPr>
          <w:lang w:eastAsia="en-GB"/>
        </w:rPr>
      </w:pPr>
      <w:r w:rsidRPr="005E3D56">
        <w:rPr>
          <w:lang w:eastAsia="en-GB"/>
        </w:rPr>
        <w:t xml:space="preserve">Protection of soft conifers and broadleaves from browsing damage </w:t>
      </w:r>
    </w:p>
    <w:p w:rsidR="000A6532" w:rsidRPr="005E3D56" w:rsidRDefault="000A6532" w:rsidP="000A6532">
      <w:pPr>
        <w:pStyle w:val="FLSBullets"/>
        <w:rPr>
          <w:lang w:eastAsia="en-GB"/>
        </w:rPr>
      </w:pPr>
      <w:r w:rsidRPr="005E3D56">
        <w:rPr>
          <w:lang w:eastAsia="en-GB"/>
        </w:rPr>
        <w:t xml:space="preserve">Completion of road upgrade and construction ready for establishment/harvesting operations </w:t>
      </w:r>
    </w:p>
    <w:p w:rsidR="00E43F1C" w:rsidRDefault="00E43F1C" w:rsidP="000A6532">
      <w:pPr>
        <w:pStyle w:val="FLSHeading2Bold"/>
      </w:pPr>
      <w:r>
        <w:t>Consultation and Further Information</w:t>
      </w:r>
    </w:p>
    <w:p w:rsidR="001E3D67" w:rsidRPr="001E3D67" w:rsidRDefault="00E43F1C" w:rsidP="003C700E">
      <w:pPr>
        <w:tabs>
          <w:tab w:val="left" w:pos="8647"/>
        </w:tabs>
        <w:spacing w:after="0" w:line="360" w:lineRule="auto"/>
        <w:ind w:left="108" w:right="-187"/>
      </w:pPr>
      <w:r w:rsidRPr="00780AE4">
        <w:rPr>
          <w:sz w:val="24"/>
        </w:rPr>
        <w:t xml:space="preserve">During the development of this plan we have consulted with the local community representatives and stakeholders known to have an interest in this plan area. For further information on the plan please contact: </w:t>
      </w:r>
      <w:r w:rsidR="000A6532">
        <w:rPr>
          <w:sz w:val="24"/>
        </w:rPr>
        <w:t>Lena Boukelia</w:t>
      </w:r>
      <w:r w:rsidR="000F0423" w:rsidRPr="000F0423">
        <w:rPr>
          <w:sz w:val="24"/>
        </w:rPr>
        <w:t xml:space="preserve">, Forest Planner, Forestry and Land Scotland on 07584 336 </w:t>
      </w:r>
      <w:r w:rsidR="000A6532">
        <w:rPr>
          <w:sz w:val="24"/>
        </w:rPr>
        <w:t>807</w:t>
      </w:r>
      <w:r w:rsidR="000F0423" w:rsidRPr="000F0423">
        <w:rPr>
          <w:sz w:val="24"/>
        </w:rPr>
        <w:t xml:space="preserve"> or </w:t>
      </w:r>
      <w:hyperlink r:id="rId7" w:history="1">
        <w:r w:rsidR="000A6532" w:rsidRPr="006B15F3">
          <w:rPr>
            <w:rStyle w:val="Hyperlink"/>
            <w:sz w:val="24"/>
          </w:rPr>
          <w:t>Lena.Boukelia@forestryandland.gov.scot</w:t>
        </w:r>
      </w:hyperlink>
    </w:p>
    <w:sectPr w:rsidR="001E3D67" w:rsidRPr="001E3D67" w:rsidSect="0060747C">
      <w:footerReference w:type="default" r:id="rId8"/>
      <w:headerReference w:type="first" r:id="rId9"/>
      <w:footerReference w:type="first" r:id="rId10"/>
      <w:pgSz w:w="11907" w:h="16839" w:code="9"/>
      <w:pgMar w:top="993" w:right="1440" w:bottom="1440" w:left="1134"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6B" w:rsidRDefault="0059096B" w:rsidP="00DA5B6C">
      <w:pPr>
        <w:spacing w:after="0" w:line="240" w:lineRule="auto"/>
      </w:pPr>
      <w:r>
        <w:separator/>
      </w:r>
    </w:p>
  </w:endnote>
  <w:endnote w:type="continuationSeparator" w:id="0">
    <w:p w:rsidR="0059096B" w:rsidRDefault="0059096B"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5" w:rsidRDefault="0086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6B" w:rsidRDefault="0059096B" w:rsidP="00DA5B6C">
      <w:pPr>
        <w:spacing w:after="0" w:line="240" w:lineRule="auto"/>
      </w:pPr>
      <w:r>
        <w:separator/>
      </w:r>
    </w:p>
  </w:footnote>
  <w:footnote w:type="continuationSeparator" w:id="0">
    <w:p w:rsidR="0059096B" w:rsidRDefault="0059096B"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863"/>
    <w:multiLevelType w:val="hybridMultilevel"/>
    <w:tmpl w:val="50B823B2"/>
    <w:lvl w:ilvl="0" w:tplc="F2E276B4">
      <w:start w:val="5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F5DDA"/>
    <w:multiLevelType w:val="hybridMultilevel"/>
    <w:tmpl w:val="E64A5962"/>
    <w:lvl w:ilvl="0" w:tplc="9D402E10">
      <w:start w:val="5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B774D2D"/>
    <w:multiLevelType w:val="hybridMultilevel"/>
    <w:tmpl w:val="334A20CA"/>
    <w:lvl w:ilvl="0" w:tplc="982402FE">
      <w:start w:val="5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C2D9F"/>
    <w:multiLevelType w:val="hybridMultilevel"/>
    <w:tmpl w:val="C1AE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D500C"/>
    <w:multiLevelType w:val="hybridMultilevel"/>
    <w:tmpl w:val="3E9E9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6B"/>
    <w:rsid w:val="00032493"/>
    <w:rsid w:val="00045B30"/>
    <w:rsid w:val="0006215C"/>
    <w:rsid w:val="000A6532"/>
    <w:rsid w:val="000F0423"/>
    <w:rsid w:val="00142C6B"/>
    <w:rsid w:val="00155C4F"/>
    <w:rsid w:val="001A7C0F"/>
    <w:rsid w:val="001C08DB"/>
    <w:rsid w:val="001E3D67"/>
    <w:rsid w:val="001E424C"/>
    <w:rsid w:val="001F2DCE"/>
    <w:rsid w:val="0020052E"/>
    <w:rsid w:val="00204906"/>
    <w:rsid w:val="00216EB3"/>
    <w:rsid w:val="002406AF"/>
    <w:rsid w:val="00305586"/>
    <w:rsid w:val="00321C99"/>
    <w:rsid w:val="00330C91"/>
    <w:rsid w:val="00335436"/>
    <w:rsid w:val="00380015"/>
    <w:rsid w:val="00381112"/>
    <w:rsid w:val="003C700E"/>
    <w:rsid w:val="003D736D"/>
    <w:rsid w:val="003F7776"/>
    <w:rsid w:val="00421CB5"/>
    <w:rsid w:val="00444468"/>
    <w:rsid w:val="004A3702"/>
    <w:rsid w:val="004D616D"/>
    <w:rsid w:val="004F38DE"/>
    <w:rsid w:val="0051308F"/>
    <w:rsid w:val="0053563D"/>
    <w:rsid w:val="00545187"/>
    <w:rsid w:val="0055770A"/>
    <w:rsid w:val="00572FFF"/>
    <w:rsid w:val="0059096B"/>
    <w:rsid w:val="00595E9D"/>
    <w:rsid w:val="005E4B63"/>
    <w:rsid w:val="0060747C"/>
    <w:rsid w:val="00645688"/>
    <w:rsid w:val="00664672"/>
    <w:rsid w:val="00666C6C"/>
    <w:rsid w:val="00682EE6"/>
    <w:rsid w:val="006B2A73"/>
    <w:rsid w:val="006E7376"/>
    <w:rsid w:val="006F57D7"/>
    <w:rsid w:val="00760ADB"/>
    <w:rsid w:val="00776177"/>
    <w:rsid w:val="00780AE4"/>
    <w:rsid w:val="0078651A"/>
    <w:rsid w:val="007E739A"/>
    <w:rsid w:val="00826EC9"/>
    <w:rsid w:val="00860A65"/>
    <w:rsid w:val="008643C4"/>
    <w:rsid w:val="008654C2"/>
    <w:rsid w:val="008B108A"/>
    <w:rsid w:val="008B1311"/>
    <w:rsid w:val="008E4664"/>
    <w:rsid w:val="008E491F"/>
    <w:rsid w:val="009351D0"/>
    <w:rsid w:val="00981078"/>
    <w:rsid w:val="00997ACD"/>
    <w:rsid w:val="009B49BC"/>
    <w:rsid w:val="00A1467D"/>
    <w:rsid w:val="00A42EA6"/>
    <w:rsid w:val="00A90C84"/>
    <w:rsid w:val="00A91716"/>
    <w:rsid w:val="00AC04DF"/>
    <w:rsid w:val="00B07461"/>
    <w:rsid w:val="00B13C33"/>
    <w:rsid w:val="00B26C97"/>
    <w:rsid w:val="00B42C07"/>
    <w:rsid w:val="00B430AC"/>
    <w:rsid w:val="00B63321"/>
    <w:rsid w:val="00B64355"/>
    <w:rsid w:val="00B71671"/>
    <w:rsid w:val="00B7331F"/>
    <w:rsid w:val="00C111B8"/>
    <w:rsid w:val="00C444EF"/>
    <w:rsid w:val="00CD5B19"/>
    <w:rsid w:val="00CE5DF1"/>
    <w:rsid w:val="00CF2299"/>
    <w:rsid w:val="00D35B91"/>
    <w:rsid w:val="00D4491B"/>
    <w:rsid w:val="00DA5433"/>
    <w:rsid w:val="00DA5B6C"/>
    <w:rsid w:val="00DE5F96"/>
    <w:rsid w:val="00E43F1C"/>
    <w:rsid w:val="00E72B73"/>
    <w:rsid w:val="00E81F81"/>
    <w:rsid w:val="00E9285E"/>
    <w:rsid w:val="00E974F6"/>
    <w:rsid w:val="00EA1451"/>
    <w:rsid w:val="00EA24E6"/>
    <w:rsid w:val="00EA5127"/>
    <w:rsid w:val="00EF23A0"/>
    <w:rsid w:val="00F43384"/>
    <w:rsid w:val="00F52723"/>
    <w:rsid w:val="00F56B72"/>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B2D6E36"/>
  <w14:defaultImageDpi w14:val="0"/>
  <w15:docId w15:val="{EC81823F-1FD5-4288-80E6-A1AC8F57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E43F1C"/>
    <w:pPr>
      <w:keepNext/>
      <w:spacing w:after="200" w:line="1040" w:lineRule="exact"/>
      <w:ind w:left="714" w:hanging="357"/>
      <w:contextualSpacing/>
    </w:pPr>
    <w:rPr>
      <w:rFonts w:cs="Times New Roman"/>
      <w:b/>
      <w:bCs/>
      <w:color w:val="48A23F"/>
      <w:sz w:val="44"/>
      <w:szCs w:val="44"/>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0747C"/>
    <w:pPr>
      <w:spacing w:after="160" w:line="680" w:lineRule="exact"/>
      <w:contextualSpacing/>
    </w:pPr>
    <w:rPr>
      <w:rFonts w:cs="Times New Roman"/>
      <w:b/>
      <w:color w:val="48A23F"/>
      <w:sz w:val="64"/>
      <w:szCs w:val="24"/>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table" w:styleId="TableGrid">
    <w:name w:val="Table Grid"/>
    <w:basedOn w:val="TableNormal"/>
    <w:uiPriority w:val="59"/>
    <w:rsid w:val="0059096B"/>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177"/>
    <w:pPr>
      <w:ind w:left="720"/>
      <w:contextualSpacing/>
    </w:pPr>
  </w:style>
  <w:style w:type="character" w:styleId="Hyperlink">
    <w:name w:val="Hyperlink"/>
    <w:basedOn w:val="DefaultParagraphFont"/>
    <w:uiPriority w:val="99"/>
    <w:unhideWhenUsed/>
    <w:rsid w:val="00E43F1C"/>
    <w:rPr>
      <w:color w:val="0000FF" w:themeColor="hyperlink"/>
      <w:u w:val="single"/>
    </w:rPr>
  </w:style>
  <w:style w:type="paragraph" w:customStyle="1" w:styleId="FLSBody0">
    <w:name w:val="FLS_Body"/>
    <w:qFormat/>
    <w:rsid w:val="00032493"/>
    <w:pPr>
      <w:spacing w:after="200" w:line="276" w:lineRule="auto"/>
      <w:contextualSpacing/>
    </w:pPr>
    <w:rPr>
      <w:rFonts w:asciiTheme="minorHAnsi" w:eastAsiaTheme="minorHAnsi" w:hAnsiTheme="minorHAnsi" w:cstheme="minorBidi"/>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na.Boukelia@forestryandland.gov.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29\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fls-A4-portrait-wordtemplate-cover.dotx</Template>
  <TotalTime>149</TotalTime>
  <Pages>2</Pages>
  <Words>398</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Summary of Land Management Plan Proposals LANEHEAD</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Land Management Plan Proposals LANEHEAD</dc:title>
  <dc:subject/>
  <dc:creator>u321929</dc:creator>
  <cp:keywords/>
  <dc:description/>
  <cp:lastModifiedBy>Boukelia L (Lena)</cp:lastModifiedBy>
  <cp:revision>11</cp:revision>
  <cp:lastPrinted>2021-06-04T14:07:00Z</cp:lastPrinted>
  <dcterms:created xsi:type="dcterms:W3CDTF">2021-06-16T13:56:00Z</dcterms:created>
  <dcterms:modified xsi:type="dcterms:W3CDTF">2021-12-21T16:04:00Z</dcterms:modified>
</cp:coreProperties>
</file>